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hint="eastAsia" w:eastAsia="宋体"/>
          <w:lang w:val="en-US" w:eastAsia="zh-CN"/>
        </w:rPr>
      </w:pPr>
      <w:bookmarkStart w:id="0" w:name="_GoBack"/>
      <w:bookmarkEnd w:id="0"/>
      <w:permStart w:id="0" w:edGrp="everyone"/>
      <w:permEnd w:id="0"/>
      <w:r>
        <w:rPr>
          <w:rFonts w:hint="eastAsia"/>
          <w:lang w:val="en-US" w:eastAsia="zh-CN"/>
        </w:rPr>
        <w:t xml:space="preserve"> </w:t>
      </w:r>
    </w:p>
    <w:p>
      <w:pPr>
        <w:pStyle w:val="4"/>
        <w:jc w:val="center"/>
        <w:rPr>
          <w:rFonts w:hint="eastAsia"/>
        </w:rPr>
      </w:pPr>
    </w:p>
    <w:p>
      <w:pPr>
        <w:pStyle w:val="4"/>
        <w:jc w:val="center"/>
        <w:rPr>
          <w:rFonts w:hint="eastAsia"/>
        </w:rPr>
      </w:pPr>
    </w:p>
    <w:p>
      <w:pPr>
        <w:pStyle w:val="4"/>
        <w:jc w:val="center"/>
        <w:rPr>
          <w:rFonts w:hint="eastAsia"/>
        </w:rPr>
      </w:pPr>
    </w:p>
    <w:p>
      <w:pPr>
        <w:pStyle w:val="4"/>
        <w:jc w:val="center"/>
        <w:rPr>
          <w:rFonts w:hint="eastAsia"/>
        </w:rPr>
      </w:pPr>
    </w:p>
    <w:p>
      <w:pPr>
        <w:pStyle w:val="4"/>
        <w:jc w:val="center"/>
        <w:rPr>
          <w:rFonts w:hint="eastAsia"/>
        </w:rPr>
      </w:pPr>
    </w:p>
    <w:p>
      <w:pPr>
        <w:pStyle w:val="4"/>
        <w:jc w:val="center"/>
        <w:rPr>
          <w:rFonts w:hint="eastAsia"/>
        </w:rPr>
      </w:pPr>
    </w:p>
    <w:p>
      <w:pPr>
        <w:pStyle w:val="4"/>
        <w:jc w:val="center"/>
        <w:rPr>
          <w:rFonts w:hint="eastAsia"/>
        </w:rPr>
      </w:pPr>
    </w:p>
    <w:p>
      <w:pPr>
        <w:pStyle w:val="4"/>
        <w:ind w:firstLine="2240" w:firstLineChars="700"/>
        <w:rPr>
          <w:rFonts w:hint="eastAsia" w:ascii="仿宋_GB2312" w:eastAsia="仿宋_GB2312"/>
          <w:sz w:val="32"/>
        </w:rPr>
      </w:pPr>
      <w:r>
        <w:rPr>
          <w:rFonts w:hint="eastAsia" w:ascii="仿宋_GB2312" w:eastAsia="仿宋_GB2312"/>
          <w:sz w:val="32"/>
        </w:rPr>
        <w:t>饶环</w:t>
      </w:r>
      <w:r>
        <w:rPr>
          <w:rFonts w:hint="eastAsia" w:ascii="仿宋_GB2312" w:eastAsia="仿宋_GB2312"/>
          <w:sz w:val="32"/>
          <w:lang w:eastAsia="zh-CN"/>
        </w:rPr>
        <w:t>评</w:t>
      </w:r>
      <w:r>
        <w:rPr>
          <w:rFonts w:hint="eastAsia" w:ascii="仿宋_GB2312" w:eastAsia="仿宋_GB2312"/>
          <w:sz w:val="32"/>
        </w:rPr>
        <w:t>字〔20</w:t>
      </w:r>
      <w:r>
        <w:rPr>
          <w:rFonts w:hint="eastAsia" w:ascii="仿宋_GB2312" w:eastAsia="仿宋_GB2312"/>
          <w:sz w:val="32"/>
          <w:lang w:val="en-US" w:eastAsia="zh-CN"/>
        </w:rPr>
        <w:t>20</w:t>
      </w:r>
      <w:r>
        <w:rPr>
          <w:rFonts w:hint="eastAsia" w:ascii="仿宋_GB2312" w:eastAsia="仿宋_GB2312"/>
          <w:sz w:val="32"/>
        </w:rPr>
        <w:t>〕</w:t>
      </w:r>
      <w:r>
        <w:rPr>
          <w:rFonts w:hint="eastAsia" w:ascii="仿宋_GB2312" w:eastAsia="仿宋_GB2312"/>
          <w:sz w:val="32"/>
          <w:lang w:val="en-US" w:eastAsia="zh-CN"/>
        </w:rPr>
        <w:t>33</w:t>
      </w:r>
      <w:r>
        <w:rPr>
          <w:rFonts w:hint="eastAsia" w:ascii="仿宋_GB2312" w:eastAsia="仿宋_GB2312"/>
          <w:sz w:val="32"/>
        </w:rPr>
        <w:t>号</w:t>
      </w:r>
    </w:p>
    <w:p>
      <w:pPr>
        <w:pStyle w:val="4"/>
        <w:jc w:val="center"/>
        <w:rPr>
          <w:rFonts w:hint="eastAsia"/>
        </w:rPr>
      </w:pPr>
    </w:p>
    <w:p>
      <w:pPr>
        <w:pStyle w:val="4"/>
        <w:jc w:val="center"/>
        <w:rPr>
          <w:rFonts w:hint="eastAsia"/>
        </w:rPr>
      </w:pPr>
    </w:p>
    <w:p>
      <w:pPr>
        <w:pStyle w:val="4"/>
        <w:tabs>
          <w:tab w:val="left" w:pos="7380"/>
        </w:tabs>
        <w:spacing w:line="600" w:lineRule="exact"/>
        <w:jc w:val="center"/>
        <w:rPr>
          <w:rFonts w:hint="eastAsia" w:ascii="方正小标宋简体" w:eastAsia="方正小标宋简体"/>
          <w:bCs/>
        </w:rPr>
      </w:pPr>
      <w:r>
        <w:rPr>
          <w:rFonts w:hint="eastAsia" w:ascii="方正小标宋简体" w:eastAsia="方正小标宋简体"/>
          <w:bCs/>
        </w:rPr>
        <w:t>关于弋阳县源流矿业有限公司兴鑫萤石矿开采扩建项目环境影响报告书的批复</w:t>
      </w:r>
    </w:p>
    <w:p>
      <w:pPr>
        <w:rPr>
          <w:rFonts w:hint="eastAsia" w:ascii="宋体" w:hAnsi="宋体"/>
          <w:sz w:val="32"/>
        </w:rPr>
      </w:pPr>
    </w:p>
    <w:p>
      <w:pPr>
        <w:keepNext w:val="0"/>
        <w:keepLines w:val="0"/>
        <w:pageBreakBefore w:val="0"/>
        <w:widowControl w:val="0"/>
        <w:kinsoku/>
        <w:wordWrap/>
        <w:overflowPunct/>
        <w:topLinePunct w:val="0"/>
        <w:bidi w:val="0"/>
        <w:spacing w:line="600" w:lineRule="exact"/>
        <w:textAlignment w:val="auto"/>
        <w:rPr>
          <w:rFonts w:hint="eastAsia" w:ascii="仿宋_GB2312" w:eastAsia="仿宋_GB2312"/>
          <w:sz w:val="32"/>
          <w:szCs w:val="32"/>
        </w:rPr>
      </w:pPr>
      <w:r>
        <w:rPr>
          <w:rFonts w:hint="eastAsia" w:ascii="仿宋_GB2312" w:eastAsia="仿宋_GB2312"/>
          <w:sz w:val="32"/>
          <w:szCs w:val="32"/>
        </w:rPr>
        <w:t>弋阳县源流矿业有限公司：</w:t>
      </w:r>
    </w:p>
    <w:p>
      <w:pPr>
        <w:keepNext w:val="0"/>
        <w:keepLines w:val="0"/>
        <w:pageBreakBefore w:val="0"/>
        <w:widowControl w:val="0"/>
        <w:kinsoku/>
        <w:wordWrap/>
        <w:overflowPunct/>
        <w:topLinePunct w:val="0"/>
        <w:bidi w:val="0"/>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你公司呈报的《弋阳县源流矿业有限公司兴鑫萤石矿开采扩建项目环境影响报告书》（以下简称《报告书》）收悉。经研究，现批复如下：</w:t>
      </w:r>
    </w:p>
    <w:p>
      <w:pPr>
        <w:keepNext w:val="0"/>
        <w:keepLines w:val="0"/>
        <w:pageBreakBefore w:val="0"/>
        <w:widowControl w:val="0"/>
        <w:numPr>
          <w:ilvl w:val="0"/>
          <w:numId w:val="1"/>
        </w:numPr>
        <w:kinsoku/>
        <w:wordWrap/>
        <w:overflowPunct/>
        <w:topLinePunct w:val="0"/>
        <w:bidi w:val="0"/>
        <w:spacing w:line="600" w:lineRule="exact"/>
        <w:ind w:firstLine="640" w:firstLineChars="200"/>
        <w:textAlignment w:val="auto"/>
        <w:rPr>
          <w:rFonts w:hint="eastAsia" w:ascii="仿宋_GB2312" w:eastAsia="仿宋_GB2312"/>
          <w:sz w:val="32"/>
          <w:szCs w:val="32"/>
        </w:rPr>
      </w:pPr>
      <w:r>
        <w:rPr>
          <w:rFonts w:hint="eastAsia" w:ascii="黑体" w:hAnsi="黑体" w:eastAsia="黑体"/>
          <w:bCs/>
          <w:sz w:val="32"/>
          <w:szCs w:val="32"/>
        </w:rPr>
        <w:t>项目基本情况及项目批复意见</w:t>
      </w:r>
    </w:p>
    <w:p>
      <w:pPr>
        <w:keepNext w:val="0"/>
        <w:keepLines w:val="0"/>
        <w:pageBreakBefore w:val="0"/>
        <w:widowControl w:val="0"/>
        <w:kinsoku/>
        <w:wordWrap/>
        <w:overflowPunct/>
        <w:topLinePunct w:val="0"/>
        <w:bidi w:val="0"/>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（一）项目基本情况。</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1、原有项目</w:t>
      </w:r>
    </w:p>
    <w:p>
      <w:pPr>
        <w:keepNext w:val="0"/>
        <w:keepLines w:val="0"/>
        <w:pageBreakBefore w:val="0"/>
        <w:widowControl w:val="0"/>
        <w:kinsoku/>
        <w:wordWrap/>
        <w:overflowPunct/>
        <w:topLinePunct w:val="0"/>
        <w:bidi w:val="0"/>
        <w:spacing w:line="600" w:lineRule="exact"/>
        <w:ind w:firstLine="640" w:firstLineChars="200"/>
        <w:textAlignment w:val="auto"/>
        <w:rPr>
          <w:rFonts w:hint="eastAsia" w:ascii="仿宋_GB2312" w:hAnsi="宋体" w:eastAsia="仿宋_GB2312"/>
          <w:sz w:val="32"/>
          <w:szCs w:val="32"/>
          <w:lang w:eastAsia="zh-CN"/>
        </w:rPr>
      </w:pPr>
      <w:r>
        <w:rPr>
          <w:rFonts w:hint="eastAsia" w:ascii="仿宋_GB2312" w:hAnsi="宋体" w:eastAsia="仿宋_GB2312"/>
          <w:sz w:val="32"/>
          <w:szCs w:val="32"/>
          <w:lang w:eastAsia="zh-CN"/>
        </w:rPr>
        <w:t>弋阳县源流矿业有限公司兴鑫萤石矿位于弋阳县城30°方向31km处，属弋阳县漆工镇管辖。地理坐标：东经117°34′58.8″～117°35′35.8″，北纬28°38′58.9″～28°39′30.3″，矿区开采范围由</w:t>
      </w:r>
      <w:r>
        <w:rPr>
          <w:rFonts w:hint="eastAsia" w:ascii="仿宋_GB2312" w:hAnsi="宋体" w:eastAsia="仿宋_GB2312"/>
          <w:sz w:val="32"/>
          <w:szCs w:val="32"/>
          <w:lang w:val="en-US" w:eastAsia="zh-CN"/>
        </w:rPr>
        <w:t>4</w:t>
      </w:r>
      <w:r>
        <w:rPr>
          <w:rFonts w:hint="eastAsia" w:ascii="仿宋_GB2312" w:hAnsi="宋体" w:eastAsia="仿宋_GB2312"/>
          <w:sz w:val="32"/>
          <w:szCs w:val="32"/>
          <w:lang w:eastAsia="zh-CN"/>
        </w:rPr>
        <w:t>个拐点圈定，采矿面积为0.</w:t>
      </w:r>
      <w:r>
        <w:rPr>
          <w:rFonts w:hint="eastAsia" w:ascii="仿宋_GB2312" w:hAnsi="宋体" w:eastAsia="仿宋_GB2312"/>
          <w:sz w:val="32"/>
          <w:szCs w:val="32"/>
          <w:lang w:val="en-US" w:eastAsia="zh-CN"/>
        </w:rPr>
        <w:t>495</w:t>
      </w:r>
      <w:r>
        <w:rPr>
          <w:rFonts w:hint="eastAsia" w:ascii="仿宋_GB2312" w:hAnsi="宋体" w:eastAsia="仿宋_GB2312"/>
          <w:sz w:val="32"/>
          <w:szCs w:val="32"/>
          <w:lang w:eastAsia="zh-CN"/>
        </w:rPr>
        <w:t>平方公里。2015年10月，原江西源流汽车销售服务有限公司委托上饶市环境科学研究院编制了《江西源流汽车销售服务有限公司弋阳县兴鑫萤石矿萤石开采项目环境影响报告表》，原上饶市环境保护局于2015年12月予以批复，批文号：饶环督字</w:t>
      </w:r>
      <w:r>
        <w:rPr>
          <w:rFonts w:hint="eastAsia" w:ascii="仿宋_GB2312" w:hAnsi="宋体" w:eastAsia="仿宋_GB2312"/>
          <w:sz w:val="32"/>
          <w:szCs w:val="32"/>
        </w:rPr>
        <w:t>〔20</w:t>
      </w:r>
      <w:r>
        <w:rPr>
          <w:rFonts w:hint="eastAsia" w:ascii="仿宋_GB2312" w:hAnsi="宋体" w:eastAsia="仿宋_GB2312"/>
          <w:sz w:val="32"/>
          <w:szCs w:val="32"/>
          <w:lang w:val="en-US" w:eastAsia="zh-CN"/>
        </w:rPr>
        <w:t>15</w:t>
      </w:r>
      <w:r>
        <w:rPr>
          <w:rFonts w:hint="eastAsia" w:ascii="仿宋_GB2312" w:hAnsi="宋体" w:eastAsia="仿宋_GB2312"/>
          <w:sz w:val="32"/>
          <w:szCs w:val="32"/>
        </w:rPr>
        <w:t>〕</w:t>
      </w:r>
      <w:r>
        <w:rPr>
          <w:rFonts w:hint="eastAsia" w:ascii="仿宋_GB2312" w:hAnsi="宋体" w:eastAsia="仿宋_GB2312"/>
          <w:sz w:val="32"/>
          <w:szCs w:val="32"/>
          <w:lang w:val="en-US" w:eastAsia="zh-CN"/>
        </w:rPr>
        <w:t>237</w:t>
      </w:r>
      <w:r>
        <w:rPr>
          <w:rFonts w:hint="eastAsia" w:ascii="仿宋_GB2312" w:hAnsi="宋体" w:eastAsia="仿宋_GB2312"/>
          <w:sz w:val="32"/>
          <w:szCs w:val="32"/>
          <w:lang w:eastAsia="zh-CN"/>
        </w:rPr>
        <w:t>号，项目已完成自主验收。</w:t>
      </w:r>
    </w:p>
    <w:p>
      <w:pPr>
        <w:keepNext w:val="0"/>
        <w:keepLines w:val="0"/>
        <w:pageBreakBefore w:val="0"/>
        <w:widowControl w:val="0"/>
        <w:kinsoku/>
        <w:wordWrap/>
        <w:overflowPunct/>
        <w:topLinePunct w:val="0"/>
        <w:bidi w:val="0"/>
        <w:spacing w:line="60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2、扩建项目</w:t>
      </w:r>
    </w:p>
    <w:p>
      <w:pPr>
        <w:keepNext w:val="0"/>
        <w:keepLines w:val="0"/>
        <w:pageBreakBefore w:val="0"/>
        <w:widowControl w:val="0"/>
        <w:kinsoku/>
        <w:wordWrap/>
        <w:overflowPunct/>
        <w:topLinePunct w:val="0"/>
        <w:bidi w:val="0"/>
        <w:spacing w:line="60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扩建项目拟在现有矿区内开采，开采范围、矿区面积（0.495km2）、开采深度（由+515米至+100米标高）及开采工艺均不发生变化,只扩建原矿堆场、废石场、手工筛分场地、废水处理系统等工程。扩建项目设计开采能力6万吨/年，矿山服务年限为5.6年。</w:t>
      </w:r>
    </w:p>
    <w:p>
      <w:pPr>
        <w:keepNext w:val="0"/>
        <w:keepLines w:val="0"/>
        <w:pageBreakBefore w:val="0"/>
        <w:widowControl w:val="0"/>
        <w:kinsoku/>
        <w:wordWrap/>
        <w:overflowPunct/>
        <w:topLinePunct w:val="0"/>
        <w:bidi w:val="0"/>
        <w:spacing w:line="60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扩建项目总投资500万元，其中环保投资95.5万元。</w:t>
      </w:r>
    </w:p>
    <w:p>
      <w:pPr>
        <w:keepNext w:val="0"/>
        <w:keepLines w:val="0"/>
        <w:pageBreakBefore w:val="0"/>
        <w:widowControl w:val="0"/>
        <w:kinsoku/>
        <w:wordWrap/>
        <w:overflowPunct/>
        <w:topLinePunct w:val="0"/>
        <w:bidi w:val="0"/>
        <w:spacing w:line="60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lang w:val="en-US" w:eastAsia="zh-CN"/>
        </w:rPr>
        <w:t>（二）项目批复意见</w:t>
      </w:r>
      <w:r>
        <w:rPr>
          <w:rFonts w:hint="eastAsia" w:ascii="仿宋_GB2312" w:hAnsi="宋体" w:eastAsia="仿宋_GB2312"/>
          <w:sz w:val="32"/>
          <w:szCs w:val="32"/>
        </w:rPr>
        <w:t>。根据《报告书》的结论、市环境工程评估中心的评估意见（饶环技评书〔20</w:t>
      </w:r>
      <w:r>
        <w:rPr>
          <w:rFonts w:hint="eastAsia" w:ascii="仿宋_GB2312" w:hAnsi="宋体" w:eastAsia="仿宋_GB2312"/>
          <w:sz w:val="32"/>
          <w:szCs w:val="32"/>
          <w:lang w:val="en-US" w:eastAsia="zh-CN"/>
        </w:rPr>
        <w:t>20</w:t>
      </w:r>
      <w:r>
        <w:rPr>
          <w:rFonts w:hint="eastAsia" w:ascii="仿宋_GB2312" w:hAnsi="宋体" w:eastAsia="仿宋_GB2312"/>
          <w:sz w:val="32"/>
          <w:szCs w:val="32"/>
        </w:rPr>
        <w:t>〕</w:t>
      </w:r>
      <w:r>
        <w:rPr>
          <w:rFonts w:hint="eastAsia" w:ascii="仿宋_GB2312" w:hAnsi="宋体" w:eastAsia="仿宋_GB2312"/>
          <w:sz w:val="32"/>
          <w:szCs w:val="32"/>
          <w:lang w:val="en-US" w:eastAsia="zh-CN"/>
        </w:rPr>
        <w:t>07</w:t>
      </w:r>
      <w:r>
        <w:rPr>
          <w:rFonts w:hint="eastAsia" w:ascii="仿宋_GB2312" w:hAnsi="宋体" w:eastAsia="仿宋_GB2312"/>
          <w:sz w:val="32"/>
          <w:szCs w:val="32"/>
        </w:rPr>
        <w:t>号）和</w:t>
      </w:r>
      <w:r>
        <w:rPr>
          <w:rFonts w:hint="eastAsia" w:ascii="仿宋_GB2312" w:hAnsi="宋体" w:eastAsia="仿宋_GB2312"/>
          <w:sz w:val="32"/>
          <w:szCs w:val="32"/>
          <w:lang w:eastAsia="zh-CN"/>
        </w:rPr>
        <w:t>上饶市弋阳生态环境局</w:t>
      </w:r>
      <w:r>
        <w:rPr>
          <w:rFonts w:hint="eastAsia" w:ascii="仿宋_GB2312" w:hAnsi="宋体" w:eastAsia="仿宋_GB2312"/>
          <w:sz w:val="32"/>
          <w:szCs w:val="32"/>
        </w:rPr>
        <w:t>的意见，你公司应全面落实环境影响报告书提出的各项污染防治措施及环境风险防范措施，缓解和控制不利环境影响。我局原则同意你公司“兴鑫萤石矿开采扩建项目”的建设。</w:t>
      </w:r>
    </w:p>
    <w:p>
      <w:pPr>
        <w:pStyle w:val="13"/>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both"/>
        <w:textAlignment w:val="auto"/>
        <w:rPr>
          <w:rFonts w:hint="eastAsia" w:ascii="黑体" w:hAnsi="黑体" w:eastAsia="黑体"/>
          <w:bCs/>
          <w:sz w:val="32"/>
          <w:szCs w:val="32"/>
        </w:rPr>
      </w:pPr>
      <w:r>
        <w:rPr>
          <w:rFonts w:hint="eastAsia" w:ascii="黑体" w:hAnsi="黑体" w:eastAsia="黑体"/>
          <w:bCs/>
          <w:sz w:val="32"/>
          <w:szCs w:val="32"/>
          <w:lang w:eastAsia="zh-CN"/>
        </w:rPr>
        <w:t>二、</w:t>
      </w:r>
      <w:r>
        <w:rPr>
          <w:rFonts w:hint="eastAsia" w:ascii="黑体" w:hAnsi="黑体" w:eastAsia="黑体"/>
          <w:bCs/>
          <w:sz w:val="32"/>
          <w:szCs w:val="32"/>
        </w:rPr>
        <w:t>项目要着重做好以下环境保护工作</w:t>
      </w:r>
    </w:p>
    <w:p>
      <w:pPr>
        <w:pStyle w:val="13"/>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both"/>
        <w:textAlignment w:val="auto"/>
        <w:rPr>
          <w:rFonts w:hint="eastAsia" w:ascii="黑体" w:hAnsi="黑体" w:eastAsia="黑体"/>
          <w:bCs/>
          <w:sz w:val="32"/>
          <w:szCs w:val="32"/>
        </w:rPr>
      </w:pPr>
      <w:r>
        <w:rPr>
          <w:rFonts w:hint="eastAsia" w:ascii="仿宋_GB2312" w:eastAsia="仿宋_GB2312"/>
          <w:color w:val="000000"/>
          <w:sz w:val="32"/>
          <w:szCs w:val="32"/>
        </w:rPr>
        <w:t>项目在工程设计、建筑和生产过程中必须认真落实环境影响报告</w:t>
      </w:r>
      <w:r>
        <w:rPr>
          <w:rFonts w:hint="eastAsia" w:ascii="仿宋_GB2312" w:eastAsia="仿宋_GB2312"/>
          <w:color w:val="000000"/>
          <w:sz w:val="32"/>
          <w:szCs w:val="32"/>
          <w:lang w:eastAsia="zh-CN"/>
        </w:rPr>
        <w:t>书</w:t>
      </w:r>
      <w:r>
        <w:rPr>
          <w:rFonts w:hint="eastAsia" w:ascii="仿宋_GB2312" w:eastAsia="仿宋_GB2312"/>
          <w:color w:val="000000"/>
          <w:sz w:val="32"/>
          <w:szCs w:val="32"/>
        </w:rPr>
        <w:t>提出的各项环保措施和要求，重点做好以下</w:t>
      </w:r>
      <w:r>
        <w:rPr>
          <w:rFonts w:hint="eastAsia" w:ascii="仿宋_GB2312" w:eastAsia="仿宋_GB2312"/>
          <w:color w:val="000000"/>
          <w:sz w:val="32"/>
          <w:szCs w:val="32"/>
          <w:lang w:eastAsia="zh-CN"/>
        </w:rPr>
        <w:t>工</w:t>
      </w:r>
      <w:r>
        <w:rPr>
          <w:rFonts w:hint="eastAsia" w:ascii="仿宋_GB2312" w:eastAsia="仿宋_GB2312"/>
          <w:color w:val="000000"/>
          <w:sz w:val="32"/>
          <w:szCs w:val="32"/>
        </w:rPr>
        <w:t>作：</w:t>
      </w:r>
    </w:p>
    <w:p>
      <w:pPr>
        <w:keepNext w:val="0"/>
        <w:keepLines w:val="0"/>
        <w:pageBreakBefore w:val="0"/>
        <w:widowControl w:val="0"/>
        <w:numPr>
          <w:ilvl w:val="0"/>
          <w:numId w:val="2"/>
        </w:numPr>
        <w:kinsoku/>
        <w:wordWrap/>
        <w:overflowPunct/>
        <w:topLinePunct w:val="0"/>
        <w:bidi w:val="0"/>
        <w:spacing w:line="600" w:lineRule="exact"/>
        <w:ind w:firstLine="640" w:firstLineChars="200"/>
        <w:textAlignment w:val="auto"/>
        <w:rPr>
          <w:rFonts w:hint="eastAsia" w:ascii="仿宋_GB2312" w:hAnsi="宋体" w:eastAsia="仿宋_GB2312"/>
          <w:sz w:val="32"/>
          <w:szCs w:val="32"/>
          <w:lang w:eastAsia="zh-CN"/>
        </w:rPr>
      </w:pPr>
      <w:r>
        <w:rPr>
          <w:rFonts w:hint="eastAsia" w:ascii="仿宋_GB2312" w:hAnsi="宋体" w:eastAsia="仿宋_GB2312"/>
          <w:sz w:val="32"/>
          <w:szCs w:val="32"/>
        </w:rPr>
        <w:t>严格落实大气污染防治措施。项目产生的废气要按照《报告书》的要求治理，根据废气中污染物的类别和性质，采用成熟可靠工艺处理，确保废气污染物长期稳定达标排放。</w:t>
      </w:r>
      <w:r>
        <w:rPr>
          <w:rFonts w:hint="eastAsia" w:ascii="仿宋_GB2312" w:hAnsi="宋体" w:eastAsia="仿宋_GB2312"/>
          <w:sz w:val="32"/>
          <w:szCs w:val="32"/>
          <w:lang w:eastAsia="zh-CN"/>
        </w:rPr>
        <w:t>井下采矿采用湿式作业，且在各产尘点及通道加强洒水、喷雾等措施。通过湿式作业和井下洒水降尘，降低风井废气排放，风井废气中TSP、NOx排放执行《大气污染物综合排放标准》（GB16297-1996）表2</w:t>
      </w:r>
      <w:r>
        <w:rPr>
          <w:rFonts w:hint="eastAsia" w:ascii="仿宋_GB2312" w:hAnsi="宋体" w:eastAsia="仿宋_GB2312"/>
          <w:color w:val="auto"/>
          <w:sz w:val="32"/>
          <w:szCs w:val="32"/>
          <w:lang w:eastAsia="zh-CN"/>
        </w:rPr>
        <w:t>二级</w:t>
      </w:r>
      <w:r>
        <w:rPr>
          <w:rFonts w:hint="eastAsia" w:ascii="仿宋_GB2312" w:hAnsi="宋体" w:eastAsia="仿宋_GB2312"/>
          <w:sz w:val="32"/>
          <w:szCs w:val="32"/>
          <w:lang w:eastAsia="zh-CN"/>
        </w:rPr>
        <w:t>标准要求。</w:t>
      </w:r>
    </w:p>
    <w:p>
      <w:pPr>
        <w:keepNext w:val="0"/>
        <w:keepLines w:val="0"/>
        <w:pageBreakBefore w:val="0"/>
        <w:widowControl w:val="0"/>
        <w:kinsoku/>
        <w:wordWrap/>
        <w:overflowPunct/>
        <w:topLinePunct w:val="0"/>
        <w:bidi w:val="0"/>
        <w:spacing w:line="600" w:lineRule="exact"/>
        <w:ind w:firstLine="640" w:firstLineChars="200"/>
        <w:textAlignment w:val="auto"/>
        <w:rPr>
          <w:rFonts w:hint="eastAsia" w:eastAsia="仿宋_GB2312"/>
          <w:lang w:eastAsia="zh-CN"/>
        </w:rPr>
      </w:pPr>
      <w:r>
        <w:rPr>
          <w:rFonts w:hint="eastAsia" w:ascii="仿宋_GB2312" w:hAnsi="宋体" w:eastAsia="仿宋_GB2312"/>
          <w:sz w:val="32"/>
          <w:szCs w:val="32"/>
        </w:rPr>
        <w:t>（二）严格落实水污染防治措施。按照“清污分流、雨污分流、分质处理、一水多用”原则，合理制定废水收集、处理方案。</w:t>
      </w:r>
      <w:r>
        <w:rPr>
          <w:rFonts w:hint="eastAsia" w:ascii="仿宋_GB2312" w:hAnsi="宋体" w:eastAsia="仿宋_GB2312"/>
          <w:sz w:val="32"/>
          <w:szCs w:val="32"/>
          <w:lang w:eastAsia="zh-CN"/>
        </w:rPr>
        <w:t>项目设置容积为</w:t>
      </w:r>
      <w:r>
        <w:rPr>
          <w:rFonts w:hint="eastAsia" w:ascii="仿宋_GB2312" w:hAnsi="宋体" w:eastAsia="仿宋_GB2312"/>
          <w:sz w:val="32"/>
          <w:szCs w:val="32"/>
          <w:lang w:val="en-US" w:eastAsia="zh-CN"/>
        </w:rPr>
        <w:t>796</w:t>
      </w:r>
      <w:r>
        <w:rPr>
          <w:rFonts w:hint="eastAsia" w:ascii="仿宋_GB2312" w:hAnsi="宋体" w:eastAsia="仿宋_GB2312"/>
          <w:sz w:val="32"/>
          <w:szCs w:val="32"/>
          <w:lang w:eastAsia="zh-CN"/>
        </w:rPr>
        <w:t>m</w:t>
      </w:r>
      <w:r>
        <w:rPr>
          <w:rFonts w:hint="eastAsia" w:ascii="仿宋_GB2312" w:hAnsi="宋体" w:eastAsia="仿宋_GB2312"/>
          <w:sz w:val="32"/>
          <w:szCs w:val="32"/>
          <w:vertAlign w:val="superscript"/>
          <w:lang w:eastAsia="zh-CN"/>
        </w:rPr>
        <w:t>3</w:t>
      </w:r>
      <w:r>
        <w:rPr>
          <w:rFonts w:hint="eastAsia" w:ascii="仿宋_GB2312" w:hAnsi="宋体" w:eastAsia="仿宋_GB2312"/>
          <w:sz w:val="32"/>
          <w:szCs w:val="32"/>
          <w:lang w:eastAsia="zh-CN"/>
        </w:rPr>
        <w:t>的沉淀池，矿井涌水和堆场淋溶水经石灰+絮凝剂沉淀后，经高位水池回用于车辆清洗用水、生产抑尘和冷却，多余部分外排至东源河，外排废水执行《污水综合排放标准》(GB8978-1996)中一级标准要求，生活污水经化粪池处理后用于周边农田施肥。</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宋体" w:eastAsia="仿宋_GB2312"/>
          <w:sz w:val="32"/>
          <w:szCs w:val="32"/>
          <w:lang w:eastAsia="zh-CN"/>
        </w:rPr>
      </w:pPr>
      <w:r>
        <w:rPr>
          <w:rFonts w:hint="eastAsia" w:ascii="仿宋_GB2312" w:hAnsi="宋体" w:eastAsia="仿宋_GB2312"/>
          <w:sz w:val="32"/>
        </w:rPr>
        <w:t>（三）</w:t>
      </w:r>
      <w:r>
        <w:rPr>
          <w:rFonts w:hint="eastAsia" w:ascii="仿宋_GB2312" w:hAnsi="宋体" w:eastAsia="仿宋_GB2312"/>
          <w:sz w:val="32"/>
          <w:szCs w:val="32"/>
        </w:rPr>
        <w:t>加强固体废物污染防治。对项目产生的固体废物要按照《报告书》的要求进</w:t>
      </w:r>
      <w:r>
        <w:rPr>
          <w:rFonts w:hint="eastAsia" w:ascii="仿宋_GB2312" w:hAnsi="仿宋_GB2312" w:eastAsia="仿宋_GB2312" w:cs="仿宋_GB2312"/>
          <w:bCs/>
          <w:sz w:val="32"/>
          <w:szCs w:val="32"/>
        </w:rPr>
        <w:t>行治理，不得对周围环境造成污染。项目井下废石优先用于采空区回填或填垫运矿道路。项目废土石</w:t>
      </w:r>
      <w:r>
        <w:rPr>
          <w:rFonts w:hint="eastAsia" w:ascii="仿宋_GB2312" w:hAnsi="仿宋_GB2312" w:eastAsia="仿宋_GB2312" w:cs="仿宋_GB2312"/>
          <w:bCs/>
          <w:sz w:val="32"/>
          <w:szCs w:val="32"/>
          <w:lang w:eastAsia="zh-CN"/>
        </w:rPr>
        <w:t>部分</w:t>
      </w:r>
      <w:r>
        <w:rPr>
          <w:rFonts w:hint="eastAsia" w:ascii="仿宋_GB2312" w:hAnsi="仿宋_GB2312" w:eastAsia="仿宋_GB2312" w:cs="仿宋_GB2312"/>
          <w:bCs/>
          <w:sz w:val="32"/>
          <w:szCs w:val="32"/>
        </w:rPr>
        <w:t>外售</w:t>
      </w:r>
      <w:r>
        <w:rPr>
          <w:rFonts w:hint="eastAsia" w:ascii="仿宋_GB2312" w:hAnsi="仿宋_GB2312" w:eastAsia="仿宋_GB2312" w:cs="仿宋_GB2312"/>
          <w:bCs/>
          <w:sz w:val="32"/>
          <w:szCs w:val="32"/>
          <w:lang w:eastAsia="zh-CN"/>
        </w:rPr>
        <w:t>，部分</w:t>
      </w:r>
      <w:r>
        <w:rPr>
          <w:rFonts w:hint="eastAsia" w:ascii="仿宋_GB2312" w:hAnsi="仿宋_GB2312" w:eastAsia="仿宋_GB2312" w:cs="仿宋_GB2312"/>
          <w:bCs/>
          <w:sz w:val="32"/>
          <w:szCs w:val="32"/>
        </w:rPr>
        <w:t>堆放在矿区东面的废石场，用于今后矿山环境恢复治理，</w:t>
      </w:r>
      <w:r>
        <w:rPr>
          <w:rFonts w:hint="eastAsia" w:ascii="仿宋_GB2312" w:hAnsi="仿宋_GB2312" w:eastAsia="仿宋_GB2312" w:cs="仿宋_GB2312"/>
          <w:bCs/>
          <w:sz w:val="32"/>
          <w:szCs w:val="32"/>
          <w:lang w:eastAsia="zh-CN"/>
        </w:rPr>
        <w:t>废石</w:t>
      </w:r>
      <w:r>
        <w:rPr>
          <w:rFonts w:hint="eastAsia" w:ascii="仿宋_GB2312" w:hAnsi="仿宋_GB2312" w:eastAsia="仿宋_GB2312" w:cs="仿宋_GB2312"/>
          <w:bCs/>
          <w:sz w:val="32"/>
          <w:szCs w:val="32"/>
        </w:rPr>
        <w:t>场的容量为</w:t>
      </w:r>
      <w:r>
        <w:rPr>
          <w:rFonts w:hint="eastAsia" w:ascii="仿宋_GB2312" w:hAnsi="仿宋_GB2312" w:eastAsia="仿宋_GB2312" w:cs="仿宋_GB2312"/>
          <w:bCs/>
          <w:sz w:val="32"/>
          <w:szCs w:val="32"/>
          <w:lang w:val="en-US" w:eastAsia="zh-CN"/>
        </w:rPr>
        <w:t>166</w:t>
      </w:r>
      <w:r>
        <w:rPr>
          <w:rFonts w:hint="eastAsia" w:ascii="仿宋_GB2312" w:hAnsi="仿宋_GB2312" w:eastAsia="仿宋_GB2312" w:cs="仿宋_GB2312"/>
          <w:bCs/>
          <w:sz w:val="32"/>
          <w:szCs w:val="32"/>
        </w:rPr>
        <w:t>0m</w:t>
      </w:r>
      <w:r>
        <w:rPr>
          <w:rFonts w:hint="eastAsia" w:ascii="仿宋_GB2312" w:hAnsi="仿宋_GB2312" w:eastAsia="仿宋_GB2312" w:cs="仿宋_GB2312"/>
          <w:bCs/>
          <w:sz w:val="32"/>
          <w:szCs w:val="32"/>
          <w:vertAlign w:val="superscript"/>
        </w:rPr>
        <w:t>3</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废石场应</w:t>
      </w:r>
      <w:r>
        <w:rPr>
          <w:rFonts w:hint="eastAsia" w:ascii="仿宋_GB2312" w:hAnsi="仿宋_GB2312" w:eastAsia="仿宋_GB2312" w:cs="仿宋_GB2312"/>
          <w:bCs/>
          <w:sz w:val="32"/>
          <w:szCs w:val="32"/>
        </w:rPr>
        <w:t>符合《一般工业固体废物贮存、处置场污染控制标准》（GB18599-2001）及其修改单的环保要求</w:t>
      </w:r>
      <w:r>
        <w:rPr>
          <w:rFonts w:hint="eastAsia" w:ascii="仿宋_GB2312" w:hAnsi="仿宋_GB2312" w:eastAsia="仿宋_GB2312" w:cs="仿宋_GB2312"/>
          <w:bCs/>
          <w:sz w:val="32"/>
          <w:szCs w:val="32"/>
          <w:lang w:eastAsia="zh-CN"/>
        </w:rPr>
        <w:t>。沉淀池污泥定期清掏，与废石一起送往废石场安全堆放；废机油送有资质单位综合利用或处置；含油废抹布、生活垃圾一起收集后交由当地环卫部门统一清运处理。</w:t>
      </w:r>
    </w:p>
    <w:p>
      <w:pPr>
        <w:keepNext w:val="0"/>
        <w:keepLines w:val="0"/>
        <w:pageBreakBefore w:val="0"/>
        <w:widowControl w:val="0"/>
        <w:kinsoku/>
        <w:wordWrap/>
        <w:overflowPunct/>
        <w:topLinePunct w:val="0"/>
        <w:bidi w:val="0"/>
        <w:spacing w:line="60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（四）严格落实噪声污染防治措施。项目噪声主要来源于采矿过程中的爆破、铲装、运输，主要高噪声设备有：凿岩机、空压机、风机等设备运转噪声。</w:t>
      </w:r>
      <w:r>
        <w:rPr>
          <w:rFonts w:hint="eastAsia" w:ascii="仿宋_GB2312" w:hAnsi="宋体" w:eastAsia="仿宋_GB2312"/>
          <w:sz w:val="32"/>
          <w:szCs w:val="32"/>
          <w:lang w:eastAsia="zh-CN"/>
        </w:rPr>
        <w:t>应</w:t>
      </w:r>
      <w:r>
        <w:rPr>
          <w:rFonts w:hint="eastAsia" w:ascii="仿宋_GB2312" w:hAnsi="宋体" w:eastAsia="仿宋_GB2312"/>
          <w:sz w:val="32"/>
          <w:szCs w:val="32"/>
        </w:rPr>
        <w:t>选用低噪声设备，合理安排工作时间和运输时间，尽量避开午间和夜间爆破和运输，避免影响当地居民的正常休息；加强运输车辆的管理和沿途道路的维护，经过村庄时应限速行进，禁鸣喇叭，分散进出，减少对居民的影响。</w:t>
      </w:r>
    </w:p>
    <w:p>
      <w:pPr>
        <w:keepNext w:val="0"/>
        <w:keepLines w:val="0"/>
        <w:pageBreakBefore w:val="0"/>
        <w:widowControl w:val="0"/>
        <w:kinsoku/>
        <w:wordWrap/>
        <w:overflowPunct/>
        <w:topLinePunct w:val="0"/>
        <w:bidi w:val="0"/>
        <w:spacing w:line="60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（五）严格落实环境风险防范措施。严格落环境影响报告书中提出的各项环境风险防控措施</w:t>
      </w:r>
      <w:r>
        <w:rPr>
          <w:rFonts w:hint="eastAsia" w:ascii="仿宋_GB2312" w:hAnsi="宋体" w:eastAsia="仿宋_GB2312"/>
          <w:sz w:val="32"/>
          <w:szCs w:val="32"/>
          <w:lang w:eastAsia="zh-CN"/>
        </w:rPr>
        <w:t>，</w:t>
      </w:r>
      <w:r>
        <w:rPr>
          <w:rFonts w:hint="eastAsia" w:ascii="仿宋_GB2312" w:hAnsi="宋体" w:eastAsia="仿宋_GB2312"/>
          <w:sz w:val="32"/>
          <w:szCs w:val="32"/>
        </w:rPr>
        <w:t>认真制定环境风险应急预案，配备环境应急设施和装备。一旦发生环境风险事故，必须立即启动环境风险应急预案，控制并削减对外环境的污染影响。矿方加强监管，严格按照相关规范设计、施工和管理。矿山炸药暂存库按《爆破安全规程》（GB6722-2014）要求设计和建设，炸药在运输、贮存和使用过程中严格按《爆破安全规程》（GB6722-2014）有关规定执行。</w:t>
      </w:r>
    </w:p>
    <w:p>
      <w:pPr>
        <w:keepNext w:val="0"/>
        <w:keepLines w:val="0"/>
        <w:pageBreakBefore w:val="0"/>
        <w:widowControl w:val="0"/>
        <w:tabs>
          <w:tab w:val="left" w:pos="3825"/>
          <w:tab w:val="left" w:pos="4680"/>
        </w:tabs>
        <w:kinsoku/>
        <w:wordWrap/>
        <w:overflowPunct/>
        <w:topLinePunct w:val="0"/>
        <w:bidi w:val="0"/>
        <w:spacing w:line="60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（六）严格落实土壤和地下水污染防治措施。按照“源头控制、分区防治、污染监控、应急响应”原则做好地下水和土壤污染防治。</w:t>
      </w:r>
      <w:r>
        <w:rPr>
          <w:rFonts w:hint="eastAsia" w:ascii="仿宋_GB2312" w:hAnsi="宋体" w:eastAsia="仿宋_GB2312"/>
          <w:sz w:val="32"/>
          <w:szCs w:val="32"/>
          <w:lang w:eastAsia="zh-CN"/>
        </w:rPr>
        <w:t>原矿堆场和废石场</w:t>
      </w:r>
      <w:r>
        <w:rPr>
          <w:rFonts w:hint="eastAsia" w:ascii="仿宋_GB2312" w:hAnsi="宋体" w:eastAsia="仿宋_GB2312"/>
          <w:sz w:val="32"/>
          <w:szCs w:val="32"/>
        </w:rPr>
        <w:t>做好拦挡、截排水设施，防止上游及周边洪水浸入</w:t>
      </w:r>
      <w:r>
        <w:rPr>
          <w:rFonts w:hint="eastAsia" w:ascii="仿宋_GB2312" w:hAnsi="宋体" w:eastAsia="仿宋_GB2312"/>
          <w:sz w:val="32"/>
          <w:szCs w:val="32"/>
          <w:lang w:eastAsia="zh-CN"/>
        </w:rPr>
        <w:t>原矿堆场</w:t>
      </w:r>
      <w:r>
        <w:rPr>
          <w:rFonts w:hint="eastAsia" w:ascii="仿宋_GB2312" w:hAnsi="宋体" w:eastAsia="仿宋_GB2312"/>
          <w:sz w:val="32"/>
          <w:szCs w:val="32"/>
        </w:rPr>
        <w:t>。对井下水仓、生产废水</w:t>
      </w:r>
      <w:r>
        <w:rPr>
          <w:rFonts w:hint="eastAsia" w:ascii="仿宋_GB2312" w:hAnsi="宋体" w:eastAsia="仿宋_GB2312"/>
          <w:sz w:val="32"/>
          <w:szCs w:val="32"/>
          <w:lang w:eastAsia="zh-CN"/>
        </w:rPr>
        <w:t>沉淀池和事故应急池</w:t>
      </w:r>
      <w:r>
        <w:rPr>
          <w:rFonts w:hint="eastAsia" w:ascii="仿宋_GB2312" w:hAnsi="宋体" w:eastAsia="仿宋_GB2312"/>
          <w:sz w:val="32"/>
          <w:szCs w:val="32"/>
        </w:rPr>
        <w:t>按</w:t>
      </w:r>
      <w:r>
        <w:rPr>
          <w:rFonts w:hint="eastAsia" w:ascii="仿宋_GB2312" w:hAnsi="宋体" w:eastAsia="仿宋_GB2312"/>
          <w:sz w:val="32"/>
          <w:szCs w:val="32"/>
          <w:lang w:eastAsia="zh-CN"/>
        </w:rPr>
        <w:t>要求</w:t>
      </w:r>
      <w:r>
        <w:rPr>
          <w:rFonts w:hint="eastAsia" w:ascii="仿宋_GB2312" w:hAnsi="宋体" w:eastAsia="仿宋_GB2312"/>
          <w:sz w:val="32"/>
          <w:szCs w:val="32"/>
        </w:rPr>
        <w:t>采用水泥硬化和严格防渗、防腐和防爆措施，周围须设置防渗性的围堰和集水沟。对</w:t>
      </w:r>
      <w:r>
        <w:rPr>
          <w:rFonts w:hint="eastAsia" w:ascii="仿宋_GB2312" w:hAnsi="宋体" w:eastAsia="仿宋_GB2312"/>
          <w:sz w:val="32"/>
          <w:szCs w:val="32"/>
          <w:lang w:eastAsia="zh-CN"/>
        </w:rPr>
        <w:t>原矿堆场、废石场</w:t>
      </w:r>
      <w:r>
        <w:rPr>
          <w:rFonts w:hint="eastAsia" w:ascii="仿宋_GB2312" w:hAnsi="宋体" w:eastAsia="仿宋_GB2312"/>
          <w:sz w:val="32"/>
          <w:szCs w:val="32"/>
        </w:rPr>
        <w:t>淋溶水应及时治理后疏排，防止长时间停留下渗。</w:t>
      </w:r>
    </w:p>
    <w:p>
      <w:pPr>
        <w:keepNext w:val="0"/>
        <w:keepLines w:val="0"/>
        <w:pageBreakBefore w:val="0"/>
        <w:widowControl w:val="0"/>
        <w:kinsoku/>
        <w:wordWrap/>
        <w:overflowPunct/>
        <w:topLinePunct w:val="0"/>
        <w:bidi w:val="0"/>
        <w:adjustRightInd w:val="0"/>
        <w:snapToGrid w:val="0"/>
        <w:spacing w:line="600" w:lineRule="exact"/>
        <w:ind w:firstLine="680"/>
        <w:textAlignment w:val="auto"/>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七</w:t>
      </w:r>
      <w:r>
        <w:rPr>
          <w:rFonts w:hint="eastAsia" w:ascii="仿宋_GB2312" w:eastAsia="仿宋_GB2312"/>
          <w:sz w:val="32"/>
          <w:szCs w:val="32"/>
        </w:rPr>
        <w:t>）项目周边规划控制要求。</w:t>
      </w:r>
      <w:r>
        <w:rPr>
          <w:rFonts w:hint="eastAsia" w:ascii="仿宋_GB2312" w:hAnsi="仿宋_GB2312" w:eastAsia="仿宋_GB2312" w:cs="仿宋_GB2312"/>
          <w:sz w:val="32"/>
          <w:szCs w:val="32"/>
        </w:rPr>
        <w:t>根据报告书计算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项目风井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物料装卸场、废石临时堆场均需设置</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m的卫生防护距离。</w:t>
      </w:r>
      <w:r>
        <w:rPr>
          <w:rFonts w:hint="eastAsia" w:ascii="仿宋_GB2312" w:hAnsi="仿宋_GB2312" w:eastAsia="仿宋_GB2312" w:cs="仿宋_GB2312"/>
          <w:sz w:val="32"/>
          <w:szCs w:val="32"/>
          <w:lang w:eastAsia="zh-CN"/>
        </w:rPr>
        <w:t>你公司应配合</w:t>
      </w:r>
      <w:r>
        <w:rPr>
          <w:rFonts w:hint="eastAsia" w:ascii="仿宋_GB2312" w:eastAsia="仿宋_GB2312"/>
          <w:sz w:val="32"/>
          <w:szCs w:val="32"/>
          <w:lang w:eastAsia="zh-CN"/>
        </w:rPr>
        <w:t>弋阳</w:t>
      </w:r>
      <w:r>
        <w:rPr>
          <w:rFonts w:hint="eastAsia" w:ascii="仿宋_GB2312" w:eastAsia="仿宋_GB2312"/>
          <w:sz w:val="32"/>
          <w:szCs w:val="32"/>
        </w:rPr>
        <w:t>县</w:t>
      </w:r>
      <w:r>
        <w:rPr>
          <w:rFonts w:hint="eastAsia" w:ascii="仿宋_GB2312" w:eastAsia="仿宋_GB2312"/>
          <w:sz w:val="32"/>
          <w:szCs w:val="32"/>
          <w:lang w:eastAsia="zh-CN"/>
        </w:rPr>
        <w:t>人民</w:t>
      </w:r>
      <w:r>
        <w:rPr>
          <w:rFonts w:hint="eastAsia" w:ascii="仿宋_GB2312" w:eastAsia="仿宋_GB2312"/>
          <w:sz w:val="32"/>
          <w:szCs w:val="32"/>
        </w:rPr>
        <w:t>政府</w:t>
      </w:r>
      <w:r>
        <w:rPr>
          <w:rFonts w:hint="eastAsia" w:ascii="仿宋_GB2312" w:eastAsia="仿宋_GB2312"/>
          <w:sz w:val="32"/>
          <w:szCs w:val="32"/>
          <w:lang w:eastAsia="zh-CN"/>
        </w:rPr>
        <w:t>，</w:t>
      </w:r>
      <w:r>
        <w:rPr>
          <w:rFonts w:hint="eastAsia" w:ascii="仿宋_GB2312" w:eastAsia="仿宋_GB2312"/>
          <w:sz w:val="32"/>
          <w:szCs w:val="32"/>
        </w:rPr>
        <w:t>严格控制</w:t>
      </w:r>
      <w:r>
        <w:rPr>
          <w:rFonts w:hint="eastAsia" w:ascii="仿宋_GB2312" w:eastAsia="仿宋_GB2312"/>
          <w:sz w:val="32"/>
          <w:szCs w:val="32"/>
          <w:lang w:eastAsia="zh-CN"/>
        </w:rPr>
        <w:t>好本</w:t>
      </w:r>
      <w:r>
        <w:rPr>
          <w:rFonts w:hint="eastAsia" w:ascii="仿宋_GB2312" w:eastAsia="仿宋_GB2312"/>
          <w:sz w:val="32"/>
          <w:szCs w:val="32"/>
        </w:rPr>
        <w:t>项目周边规划，项目卫生防护距离范围内不得新建居民住宅、学校</w:t>
      </w:r>
      <w:r>
        <w:rPr>
          <w:rFonts w:hint="eastAsia" w:ascii="仿宋_GB2312" w:eastAsia="仿宋_GB2312"/>
          <w:sz w:val="32"/>
          <w:szCs w:val="32"/>
          <w:lang w:eastAsia="zh-CN"/>
        </w:rPr>
        <w:t>及</w:t>
      </w:r>
      <w:r>
        <w:rPr>
          <w:rFonts w:hint="eastAsia" w:ascii="仿宋_GB2312" w:eastAsia="仿宋_GB2312"/>
          <w:sz w:val="32"/>
          <w:szCs w:val="32"/>
        </w:rPr>
        <w:t>医院</w:t>
      </w:r>
      <w:r>
        <w:rPr>
          <w:rFonts w:hint="eastAsia" w:ascii="仿宋_GB2312" w:eastAsia="仿宋_GB2312"/>
          <w:sz w:val="32"/>
          <w:szCs w:val="32"/>
          <w:lang w:eastAsia="zh-CN"/>
        </w:rPr>
        <w:t>等</w:t>
      </w:r>
      <w:r>
        <w:rPr>
          <w:rFonts w:hint="eastAsia" w:ascii="仿宋_GB2312" w:eastAsia="仿宋_GB2312"/>
          <w:sz w:val="32"/>
          <w:szCs w:val="32"/>
        </w:rPr>
        <w:t>环境敏感性建筑。</w:t>
      </w:r>
    </w:p>
    <w:p>
      <w:pPr>
        <w:keepNext w:val="0"/>
        <w:keepLines w:val="0"/>
        <w:pageBreakBefore w:val="0"/>
        <w:widowControl w:val="0"/>
        <w:kinsoku/>
        <w:wordWrap/>
        <w:overflowPunct/>
        <w:topLinePunct w:val="0"/>
        <w:bidi w:val="0"/>
        <w:adjustRightInd w:val="0"/>
        <w:snapToGrid w:val="0"/>
        <w:spacing w:line="600" w:lineRule="exact"/>
        <w:ind w:firstLine="680"/>
        <w:textAlignment w:val="auto"/>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八</w:t>
      </w:r>
      <w:r>
        <w:rPr>
          <w:rFonts w:hint="eastAsia" w:ascii="仿宋_GB2312" w:eastAsia="仿宋_GB2312"/>
          <w:sz w:val="32"/>
          <w:szCs w:val="32"/>
        </w:rPr>
        <w:t>）排污口规范化要求。按规定设置规范的污染物排放口，</w:t>
      </w:r>
      <w:r>
        <w:rPr>
          <w:rFonts w:hint="eastAsia" w:ascii="仿宋_GB2312" w:eastAsia="仿宋_GB2312"/>
          <w:sz w:val="32"/>
          <w:szCs w:val="32"/>
          <w:lang w:eastAsia="zh-CN"/>
        </w:rPr>
        <w:t>并</w:t>
      </w:r>
      <w:r>
        <w:rPr>
          <w:rFonts w:hint="eastAsia" w:ascii="仿宋_GB2312" w:eastAsia="仿宋_GB2312"/>
          <w:sz w:val="32"/>
          <w:szCs w:val="32"/>
        </w:rPr>
        <w:t>设立相应的标志牌。</w:t>
      </w:r>
    </w:p>
    <w:p>
      <w:pPr>
        <w:keepNext w:val="0"/>
        <w:keepLines w:val="0"/>
        <w:pageBreakBefore w:val="0"/>
        <w:widowControl w:val="0"/>
        <w:kinsoku/>
        <w:wordWrap/>
        <w:overflowPunct/>
        <w:topLinePunct w:val="0"/>
        <w:bidi w:val="0"/>
        <w:spacing w:line="600" w:lineRule="exact"/>
        <w:ind w:firstLine="680"/>
        <w:textAlignment w:val="auto"/>
        <w:rPr>
          <w:rFonts w:hint="eastAsia" w:ascii="仿宋_GB2312" w:hAnsi="宋体" w:eastAsia="仿宋_GB2312"/>
          <w:sz w:val="32"/>
        </w:rPr>
      </w:pPr>
      <w:r>
        <w:rPr>
          <w:rFonts w:hint="eastAsia" w:ascii="仿宋_GB2312" w:hAnsi="宋体" w:eastAsia="仿宋_GB2312"/>
          <w:sz w:val="32"/>
        </w:rPr>
        <w:t>（</w:t>
      </w:r>
      <w:r>
        <w:rPr>
          <w:rFonts w:hint="eastAsia" w:ascii="仿宋_GB2312" w:hAnsi="宋体" w:eastAsia="仿宋_GB2312"/>
          <w:sz w:val="32"/>
          <w:lang w:eastAsia="zh-CN"/>
        </w:rPr>
        <w:t>九</w:t>
      </w:r>
      <w:r>
        <w:rPr>
          <w:rFonts w:hint="eastAsia" w:ascii="仿宋_GB2312" w:hAnsi="宋体" w:eastAsia="仿宋_GB2312"/>
          <w:sz w:val="32"/>
        </w:rPr>
        <w:t>）公众参与要求。在工程施工和运营过程中，应建立畅通的公众参与平台，及时解决公众担忧的环境问题，满足公众合理的环境保护要求。定期发布企业环境信息，并主动接受社会监督。</w:t>
      </w:r>
    </w:p>
    <w:p>
      <w:pPr>
        <w:keepNext w:val="0"/>
        <w:keepLines w:val="0"/>
        <w:pageBreakBefore w:val="0"/>
        <w:widowControl w:val="0"/>
        <w:kinsoku/>
        <w:wordWrap/>
        <w:overflowPunct/>
        <w:topLinePunct w:val="0"/>
        <w:bidi w:val="0"/>
        <w:spacing w:line="600" w:lineRule="exact"/>
        <w:ind w:firstLine="645"/>
        <w:textAlignment w:val="auto"/>
        <w:rPr>
          <w:rFonts w:hint="eastAsia" w:ascii="仿宋_GB2312" w:hAnsi="宋体" w:eastAsia="仿宋_GB2312"/>
          <w:sz w:val="32"/>
        </w:rPr>
      </w:pPr>
      <w:r>
        <w:rPr>
          <w:rFonts w:hint="eastAsia" w:ascii="仿宋_GB2312" w:hAnsi="宋体" w:eastAsia="仿宋_GB2312"/>
          <w:sz w:val="32"/>
        </w:rPr>
        <w:t>（十）建立健全环境管理。加强环保设施运行维护和管理，制定严格的环境保护岗位责任制，确保污染治理设施稳定正常运行，</w:t>
      </w:r>
      <w:r>
        <w:rPr>
          <w:rFonts w:hint="eastAsia" w:eastAsia="仿宋_GB2312"/>
          <w:sz w:val="32"/>
        </w:rPr>
        <w:t>建立污染治理设施运行台账，</w:t>
      </w:r>
      <w:r>
        <w:rPr>
          <w:rFonts w:hint="eastAsia" w:ascii="仿宋_GB2312" w:hAnsi="宋体" w:eastAsia="仿宋_GB2312"/>
          <w:sz w:val="32"/>
        </w:rPr>
        <w:t>严禁擅自闲置、停用环保治理设施，杜绝事故性污染排放，确保各项污染物达标排放并符合总量控制指标的要求。</w:t>
      </w:r>
    </w:p>
    <w:p>
      <w:pPr>
        <w:keepNext w:val="0"/>
        <w:keepLines w:val="0"/>
        <w:pageBreakBefore w:val="0"/>
        <w:widowControl w:val="0"/>
        <w:kinsoku/>
        <w:wordWrap/>
        <w:overflowPunct/>
        <w:topLinePunct w:val="0"/>
        <w:bidi w:val="0"/>
        <w:adjustRightInd w:val="0"/>
        <w:snapToGrid w:val="0"/>
        <w:spacing w:line="600" w:lineRule="exact"/>
        <w:ind w:firstLine="680"/>
        <w:textAlignment w:val="auto"/>
        <w:rPr>
          <w:rFonts w:hint="eastAsia" w:ascii="黑体" w:hAnsi="黑体" w:eastAsia="黑体"/>
          <w:sz w:val="32"/>
          <w:szCs w:val="32"/>
        </w:rPr>
      </w:pPr>
      <w:r>
        <w:rPr>
          <w:rFonts w:hint="eastAsia" w:ascii="黑体" w:hAnsi="黑体" w:eastAsia="黑体"/>
          <w:sz w:val="32"/>
          <w:szCs w:val="32"/>
        </w:rPr>
        <w:t>三、项目竣工验收的环保要求</w:t>
      </w:r>
    </w:p>
    <w:p>
      <w:pPr>
        <w:keepNext w:val="0"/>
        <w:keepLines w:val="0"/>
        <w:pageBreakBefore w:val="0"/>
        <w:widowControl w:val="0"/>
        <w:kinsoku/>
        <w:wordWrap/>
        <w:overflowPunct/>
        <w:topLinePunct w:val="0"/>
        <w:bidi w:val="0"/>
        <w:adjustRightInd w:val="0"/>
        <w:snapToGrid w:val="0"/>
        <w:spacing w:line="600" w:lineRule="exact"/>
        <w:ind w:firstLine="680"/>
        <w:textAlignment w:val="auto"/>
        <w:rPr>
          <w:rFonts w:hint="eastAsia" w:ascii="仿宋_GB2312" w:hAnsi="宋体" w:eastAsia="仿宋_GB2312"/>
          <w:sz w:val="32"/>
        </w:rPr>
      </w:pPr>
      <w:r>
        <w:rPr>
          <w:rFonts w:hint="eastAsia" w:ascii="仿宋_GB2312" w:hAnsi="宋体" w:eastAsia="仿宋_GB2312"/>
          <w:sz w:val="32"/>
        </w:rPr>
        <w:t>项目建设必须严格执行环境保护设施与主体工程同时设计、同时施工、同时投入使用的环境保护“三同时”制度，落实各项环境保护措施。你公司应当按照相关规定要求，对配套建设的环境保护设施进行验收，编制验收报告，并依法向社会公开。你公司在环境保护设施验收过程中，应当如实查验、监测、记载建设项目环境保护设施的建设和调试情况，不得弄虚作假。</w:t>
      </w:r>
    </w:p>
    <w:p>
      <w:pPr>
        <w:keepNext w:val="0"/>
        <w:keepLines w:val="0"/>
        <w:pageBreakBefore w:val="0"/>
        <w:widowControl w:val="0"/>
        <w:kinsoku/>
        <w:wordWrap/>
        <w:overflowPunct/>
        <w:topLinePunct w:val="0"/>
        <w:bidi w:val="0"/>
        <w:adjustRightInd w:val="0"/>
        <w:snapToGrid w:val="0"/>
        <w:spacing w:line="600" w:lineRule="exact"/>
        <w:ind w:firstLine="680"/>
        <w:textAlignment w:val="auto"/>
        <w:rPr>
          <w:rFonts w:hint="eastAsia" w:ascii="黑体" w:hAnsi="黑体" w:eastAsia="黑体"/>
          <w:sz w:val="32"/>
          <w:szCs w:val="32"/>
        </w:rPr>
      </w:pPr>
      <w:r>
        <w:rPr>
          <w:rFonts w:hint="eastAsia" w:ascii="黑体" w:hAnsi="黑体" w:eastAsia="黑体"/>
          <w:sz w:val="32"/>
          <w:szCs w:val="32"/>
        </w:rPr>
        <w:t>四、其他环保要求</w:t>
      </w:r>
    </w:p>
    <w:p>
      <w:pPr>
        <w:keepNext w:val="0"/>
        <w:keepLines w:val="0"/>
        <w:pageBreakBefore w:val="0"/>
        <w:widowControl w:val="0"/>
        <w:kinsoku/>
        <w:wordWrap/>
        <w:overflowPunct/>
        <w:topLinePunct w:val="0"/>
        <w:bidi w:val="0"/>
        <w:spacing w:line="600" w:lineRule="exact"/>
        <w:ind w:firstLine="640" w:firstLineChars="200"/>
        <w:textAlignment w:val="auto"/>
        <w:rPr>
          <w:rFonts w:hint="eastAsia" w:ascii="仿宋_GB2312" w:eastAsia="仿宋_GB2312"/>
          <w:color w:val="000000"/>
          <w:sz w:val="32"/>
          <w:szCs w:val="32"/>
        </w:rPr>
      </w:pPr>
      <w:r>
        <w:rPr>
          <w:rFonts w:hint="eastAsia" w:ascii="仿宋_GB2312" w:hAnsi="仿宋" w:eastAsia="仿宋_GB2312"/>
          <w:sz w:val="32"/>
          <w:szCs w:val="32"/>
        </w:rPr>
        <w:t>（一）</w:t>
      </w:r>
      <w:r>
        <w:rPr>
          <w:rFonts w:hint="eastAsia" w:ascii="仿宋_GB2312" w:eastAsia="仿宋_GB2312"/>
          <w:color w:val="000000"/>
          <w:sz w:val="32"/>
          <w:szCs w:val="32"/>
        </w:rPr>
        <w:t>重新办理环评审批要求。本次批复仅限于《报告</w:t>
      </w:r>
      <w:r>
        <w:rPr>
          <w:rFonts w:hint="eastAsia" w:ascii="仿宋_GB2312" w:eastAsia="仿宋_GB2312"/>
          <w:color w:val="000000"/>
          <w:sz w:val="32"/>
          <w:szCs w:val="32"/>
          <w:lang w:eastAsia="zh-CN"/>
        </w:rPr>
        <w:t>书</w:t>
      </w:r>
      <w:r>
        <w:rPr>
          <w:rFonts w:hint="eastAsia" w:ascii="仿宋_GB2312" w:eastAsia="仿宋_GB2312"/>
          <w:color w:val="000000"/>
          <w:sz w:val="32"/>
          <w:szCs w:val="32"/>
        </w:rPr>
        <w:t>》确定项目的内容，项目的性质、规模、地点或者防治污染、防止生态破坏的措施发生重大变动或审批后超过五年后动工建设的，应按照法律法规的规定，重新办理环评审批手续。</w:t>
      </w:r>
    </w:p>
    <w:p>
      <w:pPr>
        <w:keepNext w:val="0"/>
        <w:keepLines w:val="0"/>
        <w:pageBreakBefore w:val="0"/>
        <w:widowControl w:val="0"/>
        <w:kinsoku/>
        <w:wordWrap/>
        <w:overflowPunct/>
        <w:topLinePunct w:val="0"/>
        <w:bidi w:val="0"/>
        <w:spacing w:line="600" w:lineRule="exact"/>
        <w:ind w:firstLine="680"/>
        <w:jc w:val="left"/>
        <w:textAlignment w:val="auto"/>
        <w:rPr>
          <w:rFonts w:hint="eastAsia" w:ascii="仿宋_GB2312" w:hAnsi="宋体" w:eastAsia="仿宋_GB2312"/>
          <w:sz w:val="32"/>
        </w:rPr>
      </w:pPr>
      <w:r>
        <w:rPr>
          <w:rFonts w:hint="eastAsia" w:ascii="仿宋_GB2312" w:eastAsia="仿宋_GB2312"/>
          <w:color w:val="000000"/>
          <w:sz w:val="32"/>
          <w:szCs w:val="32"/>
        </w:rPr>
        <w:t>（二）项目监督管理要求。请</w:t>
      </w:r>
      <w:r>
        <w:rPr>
          <w:rFonts w:hint="eastAsia" w:ascii="仿宋_GB2312" w:eastAsia="仿宋_GB2312"/>
          <w:color w:val="000000"/>
          <w:sz w:val="32"/>
          <w:szCs w:val="32"/>
          <w:lang w:eastAsia="zh-CN"/>
        </w:rPr>
        <w:t>上饶市弋阳生态环境</w:t>
      </w:r>
      <w:r>
        <w:rPr>
          <w:rFonts w:hint="eastAsia" w:ascii="仿宋_GB2312" w:eastAsia="仿宋_GB2312"/>
          <w:color w:val="000000"/>
          <w:sz w:val="32"/>
          <w:szCs w:val="32"/>
        </w:rPr>
        <w:t>局加强本项目的日常监督管理。你公司应在收到本批复后20个工作日内，将批准后的环境影响报告</w:t>
      </w:r>
      <w:r>
        <w:rPr>
          <w:rFonts w:hint="eastAsia" w:ascii="仿宋_GB2312" w:eastAsia="仿宋_GB2312"/>
          <w:color w:val="000000"/>
          <w:sz w:val="32"/>
          <w:szCs w:val="32"/>
          <w:lang w:eastAsia="zh-CN"/>
        </w:rPr>
        <w:t>书</w:t>
      </w:r>
      <w:r>
        <w:rPr>
          <w:rFonts w:hint="eastAsia" w:ascii="仿宋_GB2312" w:eastAsia="仿宋_GB2312"/>
          <w:color w:val="000000"/>
          <w:sz w:val="32"/>
          <w:szCs w:val="32"/>
        </w:rPr>
        <w:t>及其批复送</w:t>
      </w:r>
      <w:r>
        <w:rPr>
          <w:rFonts w:hint="eastAsia" w:ascii="仿宋_GB2312" w:eastAsia="仿宋_GB2312"/>
          <w:color w:val="000000"/>
          <w:sz w:val="32"/>
          <w:szCs w:val="32"/>
          <w:lang w:eastAsia="zh-CN"/>
        </w:rPr>
        <w:t>上述生态环境</w:t>
      </w:r>
      <w:r>
        <w:rPr>
          <w:rFonts w:hint="eastAsia" w:ascii="仿宋_GB2312" w:eastAsia="仿宋_GB2312"/>
          <w:color w:val="000000"/>
          <w:sz w:val="32"/>
          <w:szCs w:val="32"/>
        </w:rPr>
        <w:t>局，并按规定接受各级环境保护行政主管部门的监督检查。</w:t>
      </w:r>
    </w:p>
    <w:p>
      <w:pPr>
        <w:spacing w:line="600" w:lineRule="exact"/>
        <w:ind w:firstLine="4800" w:firstLineChars="1500"/>
        <w:rPr>
          <w:rFonts w:hint="eastAsia" w:ascii="仿宋_GB2312" w:hAnsi="宋体" w:eastAsia="仿宋_GB2312"/>
          <w:sz w:val="32"/>
        </w:rPr>
      </w:pPr>
    </w:p>
    <w:p>
      <w:pPr>
        <w:spacing w:line="600" w:lineRule="exact"/>
        <w:ind w:firstLine="4800" w:firstLineChars="1500"/>
        <w:rPr>
          <w:rFonts w:hint="eastAsia" w:ascii="仿宋_GB2312" w:hAnsi="宋体" w:eastAsia="仿宋_GB2312"/>
          <w:sz w:val="32"/>
        </w:rPr>
      </w:pPr>
    </w:p>
    <w:p>
      <w:pPr>
        <w:spacing w:line="600" w:lineRule="exact"/>
        <w:ind w:firstLine="4800" w:firstLineChars="1500"/>
        <w:rPr>
          <w:rFonts w:hint="eastAsia" w:ascii="仿宋_GB2312" w:hAnsi="宋体" w:eastAsia="仿宋_GB2312"/>
          <w:sz w:val="32"/>
        </w:rPr>
      </w:pPr>
      <w:r>
        <w:rPr>
          <w:rFonts w:hint="eastAsia" w:ascii="仿宋_GB2312" w:hAnsi="宋体" w:eastAsia="仿宋_GB2312"/>
          <w:sz w:val="32"/>
        </w:rPr>
        <w:t>20</w:t>
      </w:r>
      <w:r>
        <w:rPr>
          <w:rFonts w:hint="eastAsia" w:ascii="仿宋_GB2312" w:hAnsi="宋体" w:eastAsia="仿宋_GB2312"/>
          <w:sz w:val="32"/>
          <w:lang w:val="en-US" w:eastAsia="zh-CN"/>
        </w:rPr>
        <w:t>20</w:t>
      </w:r>
      <w:r>
        <w:rPr>
          <w:rFonts w:hint="eastAsia" w:ascii="仿宋_GB2312" w:hAnsi="宋体" w:eastAsia="仿宋_GB2312"/>
          <w:sz w:val="32"/>
        </w:rPr>
        <w:t>年</w:t>
      </w:r>
      <w:r>
        <w:rPr>
          <w:rFonts w:hint="eastAsia" w:ascii="仿宋_GB2312" w:hAnsi="宋体" w:eastAsia="仿宋_GB2312"/>
          <w:sz w:val="32"/>
          <w:lang w:val="en-US" w:eastAsia="zh-CN"/>
        </w:rPr>
        <w:t>4</w:t>
      </w:r>
      <w:r>
        <w:rPr>
          <w:rFonts w:hint="eastAsia" w:ascii="仿宋_GB2312" w:hAnsi="宋体" w:eastAsia="仿宋_GB2312"/>
          <w:sz w:val="32"/>
        </w:rPr>
        <w:t>月</w:t>
      </w:r>
      <w:r>
        <w:rPr>
          <w:rFonts w:hint="eastAsia" w:ascii="仿宋_GB2312" w:hAnsi="宋体" w:eastAsia="仿宋_GB2312"/>
          <w:sz w:val="32"/>
          <w:lang w:val="en-US" w:eastAsia="zh-CN"/>
        </w:rPr>
        <w:t>24</w:t>
      </w:r>
      <w:r>
        <w:rPr>
          <w:rFonts w:hint="eastAsia" w:ascii="仿宋_GB2312" w:hAnsi="宋体" w:eastAsia="仿宋_GB2312"/>
          <w:sz w:val="32"/>
        </w:rPr>
        <w:t>日</w:t>
      </w:r>
    </w:p>
    <w:p>
      <w:pPr>
        <w:spacing w:line="600" w:lineRule="exact"/>
        <w:rPr>
          <w:rFonts w:hint="eastAsia" w:ascii="仿宋_GB2312" w:hAnsi="宋体" w:eastAsia="仿宋_GB2312"/>
          <w:sz w:val="32"/>
        </w:rPr>
      </w:pPr>
      <w:r>
        <w:rPr>
          <w:rFonts w:hint="eastAsia" w:ascii="仿宋_GB2312" w:hAnsi="宋体" w:eastAsia="仿宋_GB2312"/>
          <w:sz w:val="32"/>
        </w:rPr>
        <w:t>（此件主动公开）</w:t>
      </w:r>
    </w:p>
    <w:p>
      <w:pPr>
        <w:pStyle w:val="2"/>
        <w:rPr>
          <w:rFonts w:hint="eastAsia"/>
        </w:rPr>
      </w:pPr>
    </w:p>
    <w:p>
      <w:pPr>
        <w:spacing w:line="600" w:lineRule="exact"/>
        <w:ind w:left="841" w:leftChars="67" w:hanging="700" w:hangingChars="250"/>
        <w:rPr>
          <w:rFonts w:hint="eastAsia" w:ascii="仿宋_GB2312" w:hAnsi="宋体" w:eastAsia="仿宋_GB2312"/>
          <w:sz w:val="28"/>
          <w:szCs w:val="28"/>
        </w:rPr>
      </w:pPr>
      <w:r>
        <w:rPr>
          <w:rFonts w:ascii="仿宋_GB2312" w:hAnsi="宋体" w:eastAsia="仿宋_GB2312"/>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257800" cy="0"/>
                <wp:effectExtent l="0" t="0" r="0" b="0"/>
                <wp:wrapNone/>
                <wp:docPr id="1" name="Line 2"/>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 o:spid="_x0000_s1026" o:spt="20" style="position:absolute;left:0pt;margin-left:0pt;margin-top:0pt;height:0pt;width:414pt;z-index:251658240;mso-width-relative:page;mso-height-relative:page;" filled="f" stroked="t" coordsize="21600,21600" o:gfxdata="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lhV/3QAAAAAgEAAA8AAAAAAAAAAQAgAAAAIgAAAGRycy9kb3ducmV2LnhtbFBLAQIUABQA&#10;AAAIAIdO4kBFBrirvwEAAIsDAAAOAAAAAAAAAAEAIAAAAB8BAABkcnMvZTJvRG9jLnhtbFBLBQYA&#10;AAAABgAGAFkBAABQBQAAAAA=&#10;">
                <v:fill on="f" focussize="0,0"/>
                <v:stroke color="#000000" joinstyle="round"/>
                <v:imagedata o:title=""/>
                <o:lock v:ext="edit" aspectratio="f"/>
              </v:line>
            </w:pict>
          </mc:Fallback>
        </mc:AlternateContent>
      </w:r>
      <w:r>
        <w:rPr>
          <w:rFonts w:hint="eastAsia" w:ascii="仿宋_GB2312" w:hAnsi="宋体" w:eastAsia="仿宋_GB2312"/>
          <w:sz w:val="28"/>
          <w:szCs w:val="28"/>
        </w:rPr>
        <w:t>抄送：</w:t>
      </w:r>
      <w:r>
        <w:rPr>
          <w:rFonts w:hint="eastAsia" w:ascii="仿宋_GB2312" w:hAnsi="宋体" w:eastAsia="仿宋_GB2312"/>
          <w:sz w:val="28"/>
          <w:szCs w:val="28"/>
          <w:lang w:eastAsia="zh-CN"/>
        </w:rPr>
        <w:t>弋阳</w:t>
      </w:r>
      <w:r>
        <w:rPr>
          <w:rFonts w:hint="eastAsia" w:ascii="仿宋_GB2312" w:hAnsi="宋体" w:eastAsia="仿宋_GB2312"/>
          <w:sz w:val="28"/>
          <w:szCs w:val="28"/>
        </w:rPr>
        <w:t>县政府，</w:t>
      </w:r>
      <w:r>
        <w:rPr>
          <w:rFonts w:hint="eastAsia" w:ascii="仿宋_GB2312" w:hAnsi="宋体" w:eastAsia="仿宋_GB2312"/>
          <w:sz w:val="28"/>
          <w:szCs w:val="28"/>
          <w:lang w:eastAsia="zh-CN"/>
        </w:rPr>
        <w:t>上饶市弋阳生态环境</w:t>
      </w:r>
      <w:r>
        <w:rPr>
          <w:rFonts w:hint="eastAsia" w:ascii="仿宋_GB2312" w:hAnsi="宋体" w:eastAsia="仿宋_GB2312"/>
          <w:sz w:val="28"/>
          <w:szCs w:val="28"/>
        </w:rPr>
        <w:t>局，上饶市生态环境保护综合执法支队，</w:t>
      </w:r>
      <w:r>
        <w:rPr>
          <w:rFonts w:hint="eastAsia" w:ascii="仿宋_GB2312" w:hAnsi="宋体" w:eastAsia="仿宋_GB2312"/>
          <w:sz w:val="28"/>
          <w:szCs w:val="28"/>
          <w:lang w:eastAsia="zh-CN"/>
        </w:rPr>
        <w:t>江西融大环境</w:t>
      </w:r>
      <w:r>
        <w:rPr>
          <w:rFonts w:hint="eastAsia" w:ascii="仿宋_GB2312" w:hAnsi="宋体" w:eastAsia="仿宋_GB2312"/>
          <w:sz w:val="28"/>
          <w:szCs w:val="28"/>
        </w:rPr>
        <w:t>技术咨询有限公司。</w:t>
      </w:r>
    </w:p>
    <w:p>
      <w:pPr>
        <w:spacing w:line="600" w:lineRule="exact"/>
        <w:ind w:firstLine="140" w:firstLineChars="50"/>
      </w:pPr>
      <w:r>
        <w:rPr>
          <w:rFonts w:ascii="仿宋_GB2312" w:hAnsi="宋体"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396240</wp:posOffset>
                </wp:positionV>
                <wp:extent cx="5257800" cy="0"/>
                <wp:effectExtent l="0" t="0" r="0" b="0"/>
                <wp:wrapNone/>
                <wp:docPr id="3" name="Line 4"/>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4" o:spid="_x0000_s1026" o:spt="20" style="position:absolute;left:0pt;margin-left:0pt;margin-top:31.2pt;height:0pt;width:414pt;z-index:251660288;mso-width-relative:page;mso-height-relative:page;" filled="f" stroked="t" coordsize="21600,21600" o:gfxdata="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Pmx/cdMAAAAGAQAADwAAAAAAAAABACAAAAAiAAAAZHJzL2Rvd25yZXYueG1sUEsB&#10;AhQAFAAAAAgAh07iQGTQRGTBAQAAiwMAAA4AAAAAAAAAAQAgAAAAIgEAAGRycy9lMm9Eb2MueG1s&#10;UEsFBgAAAAAGAAYAWQEAAFUFAAAAAA==&#10;">
                <v:fill on="f" focussize="0,0"/>
                <v:stroke color="#000000" joinstyle="round"/>
                <v:imagedata o:title=""/>
                <o:lock v:ext="edit" aspectratio="f"/>
              </v:line>
            </w:pict>
          </mc:Fallback>
        </mc:AlternateContent>
      </w:r>
      <w:r>
        <w:rPr>
          <w:rFonts w:ascii="仿宋_GB2312" w:hAnsi="宋体" w:eastAsia="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257800" cy="0"/>
                <wp:effectExtent l="0" t="0" r="0" b="0"/>
                <wp:wrapNone/>
                <wp:docPr id="2" name="Line 3"/>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3" o:spid="_x0000_s1026" o:spt="20" style="position:absolute;left:0pt;margin-left:0pt;margin-top:0pt;height:0pt;width:414pt;z-index:251659264;mso-width-relative:page;mso-height-relative:page;" filled="f" stroked="t" coordsize="21600,21600" o:gfxdata="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JYVf90AAAAAIBAAAPAAAAAAAAAAEAIAAAACIAAABkcnMvZG93bnJldi54bWxQSwECFAAU&#10;AAAACACHTuJArD3nmsABAACLAwAADgAAAAAAAAABACAAAAAfAQAAZHJzL2Uyb0RvYy54bWxQSwUG&#10;AAAAAAYABgBZAQAAUQUAAAAA&#10;">
                <v:fill on="f" focussize="0,0"/>
                <v:stroke color="#000000" joinstyle="round"/>
                <v:imagedata o:title=""/>
                <o:lock v:ext="edit" aspectratio="f"/>
              </v:line>
            </w:pict>
          </mc:Fallback>
        </mc:AlternateContent>
      </w:r>
      <w:r>
        <w:rPr>
          <w:rFonts w:hint="eastAsia" w:ascii="仿宋_GB2312" w:hAnsi="宋体" w:eastAsia="仿宋_GB2312"/>
          <w:sz w:val="28"/>
          <w:szCs w:val="28"/>
        </w:rPr>
        <w:t>上饶市</w:t>
      </w:r>
      <w:r>
        <w:rPr>
          <w:rFonts w:hint="eastAsia" w:ascii="仿宋_GB2312" w:hAnsi="宋体" w:eastAsia="仿宋_GB2312"/>
          <w:sz w:val="28"/>
          <w:szCs w:val="28"/>
          <w:lang w:eastAsia="zh-CN"/>
        </w:rPr>
        <w:t>生态环境</w:t>
      </w:r>
      <w:r>
        <w:rPr>
          <w:rFonts w:hint="eastAsia" w:ascii="仿宋_GB2312" w:hAnsi="宋体" w:eastAsia="仿宋_GB2312"/>
          <w:sz w:val="28"/>
          <w:szCs w:val="28"/>
        </w:rPr>
        <w:t>局办公室                20</w:t>
      </w:r>
      <w:r>
        <w:rPr>
          <w:rFonts w:hint="eastAsia" w:ascii="仿宋_GB2312" w:hAnsi="宋体" w:eastAsia="仿宋_GB2312"/>
          <w:sz w:val="28"/>
          <w:szCs w:val="28"/>
          <w:lang w:val="en-US" w:eastAsia="zh-CN"/>
        </w:rPr>
        <w:t>20</w:t>
      </w:r>
      <w:r>
        <w:rPr>
          <w:rFonts w:hint="eastAsia" w:ascii="仿宋_GB2312" w:hAnsi="宋体" w:eastAsia="仿宋_GB2312"/>
          <w:sz w:val="28"/>
          <w:szCs w:val="28"/>
        </w:rPr>
        <w:t>年</w:t>
      </w:r>
      <w:r>
        <w:rPr>
          <w:rFonts w:hint="eastAsia" w:ascii="仿宋_GB2312" w:hAnsi="宋体" w:eastAsia="仿宋_GB2312"/>
          <w:sz w:val="28"/>
          <w:szCs w:val="28"/>
          <w:lang w:val="en-US" w:eastAsia="zh-CN"/>
        </w:rPr>
        <w:t>4</w:t>
      </w:r>
      <w:r>
        <w:rPr>
          <w:rFonts w:hint="eastAsia" w:ascii="仿宋_GB2312" w:hAnsi="宋体" w:eastAsia="仿宋_GB2312"/>
          <w:sz w:val="28"/>
          <w:szCs w:val="28"/>
        </w:rPr>
        <w:t>月</w:t>
      </w:r>
      <w:r>
        <w:rPr>
          <w:rFonts w:hint="eastAsia" w:ascii="仿宋_GB2312" w:hAnsi="宋体" w:eastAsia="仿宋_GB2312"/>
          <w:sz w:val="28"/>
          <w:szCs w:val="28"/>
          <w:lang w:val="en-US" w:eastAsia="zh-CN"/>
        </w:rPr>
        <w:t>24</w:t>
      </w:r>
      <w:r>
        <w:rPr>
          <w:rFonts w:hint="eastAsia" w:ascii="仿宋_GB2312" w:hAnsi="宋体" w:eastAsia="仿宋_GB2312"/>
          <w:sz w:val="28"/>
          <w:szCs w:val="28"/>
        </w:rPr>
        <w:t xml:space="preserve">日印发 </w:t>
      </w:r>
    </w:p>
    <w:sectPr>
      <w:headerReference r:id="rId3" w:type="default"/>
      <w:footerReference r:id="rId4" w:type="default"/>
      <w:footerReference r:id="rId5" w:type="even"/>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roman"/>
    <w:pitch w:val="default"/>
    <w:sig w:usb0="E00002FF" w:usb1="420024FF" w:usb2="00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ascii="宋体" w:hAnsi="宋体"/>
        <w:sz w:val="28"/>
        <w:szCs w:val="28"/>
      </w:rPr>
      <w:tab/>
    </w:r>
    <w:r>
      <w:rPr>
        <w:rFonts w:hint="eastAsia" w:ascii="宋体" w:hAnsi="宋体"/>
        <w:sz w:val="28"/>
        <w:szCs w:val="28"/>
      </w:rPr>
      <w:t xml:space="preserve">                                                </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w:instrText>
    </w:r>
    <w:r>
      <w:rPr>
        <w:rFonts w:ascii="宋体" w:hAnsi="宋体"/>
        <w:sz w:val="28"/>
        <w:szCs w:val="28"/>
      </w:rPr>
      <w:fldChar w:fldCharType="separate"/>
    </w:r>
    <w:r>
      <w:rPr>
        <w:rFonts w:ascii="宋体" w:hAnsi="宋体"/>
        <w:sz w:val="28"/>
        <w:szCs w:val="28"/>
      </w:rPr>
      <w:t>7</w:t>
    </w:r>
    <w:r>
      <w:rPr>
        <w:rFonts w:ascii="宋体" w:hAnsi="宋体"/>
        <w:sz w:val="28"/>
        <w:szCs w:val="28"/>
      </w:rPr>
      <w:fldChar w:fldCharType="end"/>
    </w:r>
    <w:r>
      <w:rPr>
        <w:rFonts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ascii="宋体" w:hAnsi="宋体"/>
        <w:sz w:val="28"/>
        <w:szCs w:val="28"/>
      </w:rPr>
    </w:pPr>
    <w:r>
      <w:rPr>
        <w:rFonts w:ascii="宋体" w:hAnsi="宋体"/>
        <w:sz w:val="28"/>
        <w:szCs w:val="28"/>
      </w:rPr>
      <w:tab/>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w:instrText>
    </w:r>
    <w:r>
      <w:rPr>
        <w:rFonts w:ascii="宋体" w:hAnsi="宋体"/>
        <w:sz w:val="28"/>
        <w:szCs w:val="28"/>
      </w:rPr>
      <w:fldChar w:fldCharType="separate"/>
    </w:r>
    <w:r>
      <w:rPr>
        <w:rFonts w:ascii="宋体" w:hAnsi="宋体"/>
        <w:sz w:val="28"/>
        <w:szCs w:val="28"/>
      </w:rPr>
      <w:t>6</w:t>
    </w:r>
    <w:r>
      <w:rPr>
        <w:rFonts w:ascii="宋体" w:hAnsi="宋体"/>
        <w:sz w:val="28"/>
        <w:szCs w:val="28"/>
      </w:rPr>
      <w:fldChar w:fldCharType="end"/>
    </w:r>
    <w:r>
      <w:rPr>
        <w:rFonts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67D09"/>
    <w:multiLevelType w:val="singleLevel"/>
    <w:tmpl w:val="4B467D09"/>
    <w:lvl w:ilvl="0" w:tentative="0">
      <w:start w:val="1"/>
      <w:numFmt w:val="chineseCounting"/>
      <w:suff w:val="nothing"/>
      <w:lvlText w:val="（%1）"/>
      <w:lvlJc w:val="left"/>
      <w:rPr>
        <w:rFonts w:hint="eastAsia"/>
      </w:rPr>
    </w:lvl>
  </w:abstractNum>
  <w:abstractNum w:abstractNumId="1">
    <w:nsid w:val="53E970E3"/>
    <w:multiLevelType w:val="singleLevel"/>
    <w:tmpl w:val="53E970E3"/>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0" w:hash="hFJTQSFV60rGdVyBZwRzirR+V2s=" w:salt="AKRcrnNspj4mmIMsxYNgcQ=="/>
  <w:defaultTabStop w:val="420"/>
  <w:hyphenationZone w:val="36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BC0"/>
    <w:rsid w:val="00004E50"/>
    <w:rsid w:val="00006B71"/>
    <w:rsid w:val="000124DE"/>
    <w:rsid w:val="00016109"/>
    <w:rsid w:val="00017834"/>
    <w:rsid w:val="00023B0F"/>
    <w:rsid w:val="00043BB0"/>
    <w:rsid w:val="00047551"/>
    <w:rsid w:val="00051B21"/>
    <w:rsid w:val="0005240C"/>
    <w:rsid w:val="0005352A"/>
    <w:rsid w:val="000543B2"/>
    <w:rsid w:val="000552D9"/>
    <w:rsid w:val="0006153C"/>
    <w:rsid w:val="000643A2"/>
    <w:rsid w:val="000716E3"/>
    <w:rsid w:val="0007717C"/>
    <w:rsid w:val="0008359F"/>
    <w:rsid w:val="0008726A"/>
    <w:rsid w:val="00093F1F"/>
    <w:rsid w:val="00095AF8"/>
    <w:rsid w:val="00097A0D"/>
    <w:rsid w:val="000A3C88"/>
    <w:rsid w:val="000A3CFA"/>
    <w:rsid w:val="000B6DE9"/>
    <w:rsid w:val="000C1701"/>
    <w:rsid w:val="000C4928"/>
    <w:rsid w:val="000C583D"/>
    <w:rsid w:val="000D11CC"/>
    <w:rsid w:val="000D2410"/>
    <w:rsid w:val="000D2D76"/>
    <w:rsid w:val="000D3508"/>
    <w:rsid w:val="000D59A7"/>
    <w:rsid w:val="000D78ED"/>
    <w:rsid w:val="000E0664"/>
    <w:rsid w:val="000E32B9"/>
    <w:rsid w:val="000F0F63"/>
    <w:rsid w:val="000F67E1"/>
    <w:rsid w:val="00104D25"/>
    <w:rsid w:val="001106BE"/>
    <w:rsid w:val="00110A70"/>
    <w:rsid w:val="001112C2"/>
    <w:rsid w:val="00113723"/>
    <w:rsid w:val="00113901"/>
    <w:rsid w:val="00113C09"/>
    <w:rsid w:val="00120620"/>
    <w:rsid w:val="001213CD"/>
    <w:rsid w:val="00124E8C"/>
    <w:rsid w:val="00126120"/>
    <w:rsid w:val="001339D0"/>
    <w:rsid w:val="00135F47"/>
    <w:rsid w:val="00142AEC"/>
    <w:rsid w:val="00154B16"/>
    <w:rsid w:val="001600AE"/>
    <w:rsid w:val="001627AD"/>
    <w:rsid w:val="00165C63"/>
    <w:rsid w:val="0017232B"/>
    <w:rsid w:val="00174220"/>
    <w:rsid w:val="00174B9A"/>
    <w:rsid w:val="00177147"/>
    <w:rsid w:val="00186EBA"/>
    <w:rsid w:val="00190125"/>
    <w:rsid w:val="00194036"/>
    <w:rsid w:val="001942F6"/>
    <w:rsid w:val="001944A3"/>
    <w:rsid w:val="00195B32"/>
    <w:rsid w:val="001A095B"/>
    <w:rsid w:val="001A3201"/>
    <w:rsid w:val="001B640D"/>
    <w:rsid w:val="001B7ABA"/>
    <w:rsid w:val="001C019E"/>
    <w:rsid w:val="001C099E"/>
    <w:rsid w:val="001C2A52"/>
    <w:rsid w:val="001D10F5"/>
    <w:rsid w:val="001D4F8C"/>
    <w:rsid w:val="001D79ED"/>
    <w:rsid w:val="001E2875"/>
    <w:rsid w:val="001E2F9E"/>
    <w:rsid w:val="001E3500"/>
    <w:rsid w:val="001E765C"/>
    <w:rsid w:val="001E79BB"/>
    <w:rsid w:val="001F0962"/>
    <w:rsid w:val="001F4611"/>
    <w:rsid w:val="001F7694"/>
    <w:rsid w:val="002001F3"/>
    <w:rsid w:val="00203F5A"/>
    <w:rsid w:val="00207F35"/>
    <w:rsid w:val="00212099"/>
    <w:rsid w:val="00212B49"/>
    <w:rsid w:val="00213951"/>
    <w:rsid w:val="002230E5"/>
    <w:rsid w:val="00226192"/>
    <w:rsid w:val="00226AA3"/>
    <w:rsid w:val="00227A81"/>
    <w:rsid w:val="0023214F"/>
    <w:rsid w:val="0024002D"/>
    <w:rsid w:val="00244A63"/>
    <w:rsid w:val="00252AC6"/>
    <w:rsid w:val="002550E8"/>
    <w:rsid w:val="00260595"/>
    <w:rsid w:val="002616AF"/>
    <w:rsid w:val="00281D02"/>
    <w:rsid w:val="00296B96"/>
    <w:rsid w:val="002A12F8"/>
    <w:rsid w:val="002A5C2C"/>
    <w:rsid w:val="002B4200"/>
    <w:rsid w:val="002B7764"/>
    <w:rsid w:val="002B7A7E"/>
    <w:rsid w:val="002D29F0"/>
    <w:rsid w:val="002E3A21"/>
    <w:rsid w:val="002E6AAE"/>
    <w:rsid w:val="002F1792"/>
    <w:rsid w:val="002F2EDB"/>
    <w:rsid w:val="002F31DF"/>
    <w:rsid w:val="002F6298"/>
    <w:rsid w:val="00301F58"/>
    <w:rsid w:val="00302167"/>
    <w:rsid w:val="00303817"/>
    <w:rsid w:val="00305222"/>
    <w:rsid w:val="00305F3C"/>
    <w:rsid w:val="003102A1"/>
    <w:rsid w:val="00314B11"/>
    <w:rsid w:val="003158F3"/>
    <w:rsid w:val="00322C8F"/>
    <w:rsid w:val="00324F7F"/>
    <w:rsid w:val="00330288"/>
    <w:rsid w:val="00333DB5"/>
    <w:rsid w:val="00336674"/>
    <w:rsid w:val="00345F4E"/>
    <w:rsid w:val="00350232"/>
    <w:rsid w:val="003537D5"/>
    <w:rsid w:val="00356272"/>
    <w:rsid w:val="0036244D"/>
    <w:rsid w:val="00371560"/>
    <w:rsid w:val="00372FF8"/>
    <w:rsid w:val="00382063"/>
    <w:rsid w:val="00395A05"/>
    <w:rsid w:val="00395B5F"/>
    <w:rsid w:val="00397228"/>
    <w:rsid w:val="00397E76"/>
    <w:rsid w:val="003A1C1F"/>
    <w:rsid w:val="003A28CF"/>
    <w:rsid w:val="003A2F49"/>
    <w:rsid w:val="003A3648"/>
    <w:rsid w:val="003A3997"/>
    <w:rsid w:val="003A4188"/>
    <w:rsid w:val="003A53B8"/>
    <w:rsid w:val="003A62CA"/>
    <w:rsid w:val="003A7447"/>
    <w:rsid w:val="003B014D"/>
    <w:rsid w:val="003B1248"/>
    <w:rsid w:val="003B523D"/>
    <w:rsid w:val="003B5702"/>
    <w:rsid w:val="003C0FED"/>
    <w:rsid w:val="003C36E2"/>
    <w:rsid w:val="003D3C21"/>
    <w:rsid w:val="003E02AF"/>
    <w:rsid w:val="003E5F61"/>
    <w:rsid w:val="003E72FD"/>
    <w:rsid w:val="003E7E23"/>
    <w:rsid w:val="003F5469"/>
    <w:rsid w:val="00405760"/>
    <w:rsid w:val="00407D80"/>
    <w:rsid w:val="0041110B"/>
    <w:rsid w:val="0041548E"/>
    <w:rsid w:val="004167D9"/>
    <w:rsid w:val="00420FEF"/>
    <w:rsid w:val="004244B2"/>
    <w:rsid w:val="004261A8"/>
    <w:rsid w:val="00430E29"/>
    <w:rsid w:val="00442C00"/>
    <w:rsid w:val="004470CD"/>
    <w:rsid w:val="004613D0"/>
    <w:rsid w:val="00461ABB"/>
    <w:rsid w:val="00462C9E"/>
    <w:rsid w:val="004634F6"/>
    <w:rsid w:val="00471A1A"/>
    <w:rsid w:val="0049296D"/>
    <w:rsid w:val="0049297D"/>
    <w:rsid w:val="00496078"/>
    <w:rsid w:val="004A3F06"/>
    <w:rsid w:val="004A4ABD"/>
    <w:rsid w:val="004A6CB9"/>
    <w:rsid w:val="004B1C93"/>
    <w:rsid w:val="004B577E"/>
    <w:rsid w:val="004C40AC"/>
    <w:rsid w:val="004C557E"/>
    <w:rsid w:val="004C6532"/>
    <w:rsid w:val="004C7CD9"/>
    <w:rsid w:val="004D2FBD"/>
    <w:rsid w:val="004E20D2"/>
    <w:rsid w:val="004E2454"/>
    <w:rsid w:val="004E38F0"/>
    <w:rsid w:val="004E6057"/>
    <w:rsid w:val="004F1485"/>
    <w:rsid w:val="005003FF"/>
    <w:rsid w:val="00504FEE"/>
    <w:rsid w:val="005059B9"/>
    <w:rsid w:val="00505F6C"/>
    <w:rsid w:val="005100C7"/>
    <w:rsid w:val="00517B5B"/>
    <w:rsid w:val="00520F85"/>
    <w:rsid w:val="00523907"/>
    <w:rsid w:val="0052489B"/>
    <w:rsid w:val="00535EE6"/>
    <w:rsid w:val="00540C47"/>
    <w:rsid w:val="005425FE"/>
    <w:rsid w:val="00542BE0"/>
    <w:rsid w:val="0054411C"/>
    <w:rsid w:val="0054430B"/>
    <w:rsid w:val="005510D1"/>
    <w:rsid w:val="00562BA6"/>
    <w:rsid w:val="00562D6E"/>
    <w:rsid w:val="00564555"/>
    <w:rsid w:val="00566316"/>
    <w:rsid w:val="005738D0"/>
    <w:rsid w:val="0058207F"/>
    <w:rsid w:val="0058642D"/>
    <w:rsid w:val="005906A6"/>
    <w:rsid w:val="00593E8B"/>
    <w:rsid w:val="005A48CD"/>
    <w:rsid w:val="005A5DF0"/>
    <w:rsid w:val="005B7C9A"/>
    <w:rsid w:val="005C1E14"/>
    <w:rsid w:val="005C25D0"/>
    <w:rsid w:val="005D520D"/>
    <w:rsid w:val="005D6816"/>
    <w:rsid w:val="005E043C"/>
    <w:rsid w:val="005E07D6"/>
    <w:rsid w:val="005E0A22"/>
    <w:rsid w:val="005E146C"/>
    <w:rsid w:val="005E14F0"/>
    <w:rsid w:val="005F4E85"/>
    <w:rsid w:val="005F5E87"/>
    <w:rsid w:val="005F6893"/>
    <w:rsid w:val="005F6894"/>
    <w:rsid w:val="00604D84"/>
    <w:rsid w:val="00610D2C"/>
    <w:rsid w:val="0061483E"/>
    <w:rsid w:val="006148A2"/>
    <w:rsid w:val="0062480C"/>
    <w:rsid w:val="00634BC1"/>
    <w:rsid w:val="00640146"/>
    <w:rsid w:val="00640ECC"/>
    <w:rsid w:val="00645928"/>
    <w:rsid w:val="006546FD"/>
    <w:rsid w:val="00662E97"/>
    <w:rsid w:val="00664BA8"/>
    <w:rsid w:val="006675E9"/>
    <w:rsid w:val="00667FDA"/>
    <w:rsid w:val="00670911"/>
    <w:rsid w:val="00671C90"/>
    <w:rsid w:val="00672D68"/>
    <w:rsid w:val="006739EC"/>
    <w:rsid w:val="00676027"/>
    <w:rsid w:val="00696AA9"/>
    <w:rsid w:val="006A5380"/>
    <w:rsid w:val="006A6B9D"/>
    <w:rsid w:val="006B20DA"/>
    <w:rsid w:val="006B5F5B"/>
    <w:rsid w:val="006C04E3"/>
    <w:rsid w:val="006C0601"/>
    <w:rsid w:val="006C480F"/>
    <w:rsid w:val="006C689C"/>
    <w:rsid w:val="006D1990"/>
    <w:rsid w:val="006D719A"/>
    <w:rsid w:val="006E728A"/>
    <w:rsid w:val="006F1D6A"/>
    <w:rsid w:val="006F4E5C"/>
    <w:rsid w:val="007006E4"/>
    <w:rsid w:val="007019D1"/>
    <w:rsid w:val="0071073D"/>
    <w:rsid w:val="007126C9"/>
    <w:rsid w:val="00713FCD"/>
    <w:rsid w:val="00715358"/>
    <w:rsid w:val="00727D06"/>
    <w:rsid w:val="007303AD"/>
    <w:rsid w:val="0073376F"/>
    <w:rsid w:val="00735D65"/>
    <w:rsid w:val="00735F51"/>
    <w:rsid w:val="00740023"/>
    <w:rsid w:val="0074466D"/>
    <w:rsid w:val="00746B4E"/>
    <w:rsid w:val="0075107B"/>
    <w:rsid w:val="00751D9A"/>
    <w:rsid w:val="00752680"/>
    <w:rsid w:val="00754F62"/>
    <w:rsid w:val="007565C8"/>
    <w:rsid w:val="00756C8A"/>
    <w:rsid w:val="00757451"/>
    <w:rsid w:val="0076424A"/>
    <w:rsid w:val="00774045"/>
    <w:rsid w:val="007802B3"/>
    <w:rsid w:val="0078163C"/>
    <w:rsid w:val="007821E9"/>
    <w:rsid w:val="0078367D"/>
    <w:rsid w:val="00793101"/>
    <w:rsid w:val="007A0C3B"/>
    <w:rsid w:val="007A3723"/>
    <w:rsid w:val="007A5A4F"/>
    <w:rsid w:val="007B0D0A"/>
    <w:rsid w:val="007B6F41"/>
    <w:rsid w:val="007C0E6D"/>
    <w:rsid w:val="007D185E"/>
    <w:rsid w:val="007D2118"/>
    <w:rsid w:val="007E5308"/>
    <w:rsid w:val="007F2E1C"/>
    <w:rsid w:val="007F4470"/>
    <w:rsid w:val="008074F9"/>
    <w:rsid w:val="00811B22"/>
    <w:rsid w:val="00816C2D"/>
    <w:rsid w:val="008212E4"/>
    <w:rsid w:val="008216E8"/>
    <w:rsid w:val="008229F1"/>
    <w:rsid w:val="00824154"/>
    <w:rsid w:val="00833A79"/>
    <w:rsid w:val="0083739C"/>
    <w:rsid w:val="00851D1B"/>
    <w:rsid w:val="00854046"/>
    <w:rsid w:val="00854F5E"/>
    <w:rsid w:val="008564FB"/>
    <w:rsid w:val="00857740"/>
    <w:rsid w:val="00860BC6"/>
    <w:rsid w:val="00862B3E"/>
    <w:rsid w:val="0086460A"/>
    <w:rsid w:val="00866B92"/>
    <w:rsid w:val="00870B5F"/>
    <w:rsid w:val="00872477"/>
    <w:rsid w:val="0088334F"/>
    <w:rsid w:val="00892C02"/>
    <w:rsid w:val="00894364"/>
    <w:rsid w:val="008960EA"/>
    <w:rsid w:val="0089620E"/>
    <w:rsid w:val="00896C1F"/>
    <w:rsid w:val="008A6CBF"/>
    <w:rsid w:val="008B2EB3"/>
    <w:rsid w:val="008C316F"/>
    <w:rsid w:val="008C72CC"/>
    <w:rsid w:val="008D0D21"/>
    <w:rsid w:val="008D48EA"/>
    <w:rsid w:val="008D7B3C"/>
    <w:rsid w:val="008D7EAB"/>
    <w:rsid w:val="008E024B"/>
    <w:rsid w:val="008E4F22"/>
    <w:rsid w:val="008F0D3F"/>
    <w:rsid w:val="008F25A0"/>
    <w:rsid w:val="008F3784"/>
    <w:rsid w:val="008F479F"/>
    <w:rsid w:val="008F611B"/>
    <w:rsid w:val="00900BE4"/>
    <w:rsid w:val="00901999"/>
    <w:rsid w:val="00903767"/>
    <w:rsid w:val="0090639F"/>
    <w:rsid w:val="00907F10"/>
    <w:rsid w:val="00920913"/>
    <w:rsid w:val="00920BF9"/>
    <w:rsid w:val="00933970"/>
    <w:rsid w:val="00933F9E"/>
    <w:rsid w:val="00935911"/>
    <w:rsid w:val="00935FCA"/>
    <w:rsid w:val="00937BBE"/>
    <w:rsid w:val="009401C3"/>
    <w:rsid w:val="00940A75"/>
    <w:rsid w:val="00950FC9"/>
    <w:rsid w:val="0095516C"/>
    <w:rsid w:val="009821C9"/>
    <w:rsid w:val="00982D71"/>
    <w:rsid w:val="00986103"/>
    <w:rsid w:val="00990C09"/>
    <w:rsid w:val="00991A94"/>
    <w:rsid w:val="00995DA4"/>
    <w:rsid w:val="00997551"/>
    <w:rsid w:val="00997A07"/>
    <w:rsid w:val="009A5B58"/>
    <w:rsid w:val="009B5718"/>
    <w:rsid w:val="009B587F"/>
    <w:rsid w:val="009C4E98"/>
    <w:rsid w:val="009C5489"/>
    <w:rsid w:val="009D0948"/>
    <w:rsid w:val="009D1C89"/>
    <w:rsid w:val="009D2883"/>
    <w:rsid w:val="009D5670"/>
    <w:rsid w:val="009D7AFC"/>
    <w:rsid w:val="009E7CB1"/>
    <w:rsid w:val="009F20A0"/>
    <w:rsid w:val="009F4786"/>
    <w:rsid w:val="009F74D4"/>
    <w:rsid w:val="00A045A9"/>
    <w:rsid w:val="00A04FF0"/>
    <w:rsid w:val="00A052EF"/>
    <w:rsid w:val="00A079EE"/>
    <w:rsid w:val="00A12E81"/>
    <w:rsid w:val="00A15A1A"/>
    <w:rsid w:val="00A21C67"/>
    <w:rsid w:val="00A22E2A"/>
    <w:rsid w:val="00A242BD"/>
    <w:rsid w:val="00A31F0F"/>
    <w:rsid w:val="00A3260C"/>
    <w:rsid w:val="00A32803"/>
    <w:rsid w:val="00A3281C"/>
    <w:rsid w:val="00A32CD8"/>
    <w:rsid w:val="00A32E7E"/>
    <w:rsid w:val="00A50728"/>
    <w:rsid w:val="00A50C46"/>
    <w:rsid w:val="00A614FE"/>
    <w:rsid w:val="00A637E4"/>
    <w:rsid w:val="00A645EC"/>
    <w:rsid w:val="00A64820"/>
    <w:rsid w:val="00A64DFD"/>
    <w:rsid w:val="00A740F0"/>
    <w:rsid w:val="00A75174"/>
    <w:rsid w:val="00A75863"/>
    <w:rsid w:val="00A77130"/>
    <w:rsid w:val="00A8552F"/>
    <w:rsid w:val="00A8693F"/>
    <w:rsid w:val="00A9195C"/>
    <w:rsid w:val="00A941E3"/>
    <w:rsid w:val="00AA7FB2"/>
    <w:rsid w:val="00AB0C0B"/>
    <w:rsid w:val="00AB3BBE"/>
    <w:rsid w:val="00AB4B2F"/>
    <w:rsid w:val="00AB65DF"/>
    <w:rsid w:val="00AC0BC0"/>
    <w:rsid w:val="00AC39C6"/>
    <w:rsid w:val="00AC4E65"/>
    <w:rsid w:val="00AD0BEC"/>
    <w:rsid w:val="00AD1B54"/>
    <w:rsid w:val="00AD2372"/>
    <w:rsid w:val="00AD35A3"/>
    <w:rsid w:val="00AD63B0"/>
    <w:rsid w:val="00AE1015"/>
    <w:rsid w:val="00AE1216"/>
    <w:rsid w:val="00AE4126"/>
    <w:rsid w:val="00AE4133"/>
    <w:rsid w:val="00AE5B3F"/>
    <w:rsid w:val="00AF44AC"/>
    <w:rsid w:val="00AF72FF"/>
    <w:rsid w:val="00B03637"/>
    <w:rsid w:val="00B03F0F"/>
    <w:rsid w:val="00B050B0"/>
    <w:rsid w:val="00B121EF"/>
    <w:rsid w:val="00B1439C"/>
    <w:rsid w:val="00B215F0"/>
    <w:rsid w:val="00B21EAA"/>
    <w:rsid w:val="00B27CEE"/>
    <w:rsid w:val="00B30F1F"/>
    <w:rsid w:val="00B34E8D"/>
    <w:rsid w:val="00B35F57"/>
    <w:rsid w:val="00B36523"/>
    <w:rsid w:val="00B36F94"/>
    <w:rsid w:val="00B43A00"/>
    <w:rsid w:val="00B44183"/>
    <w:rsid w:val="00B61404"/>
    <w:rsid w:val="00B62763"/>
    <w:rsid w:val="00B630D1"/>
    <w:rsid w:val="00B67402"/>
    <w:rsid w:val="00B70A91"/>
    <w:rsid w:val="00B72758"/>
    <w:rsid w:val="00B72B1F"/>
    <w:rsid w:val="00B750FA"/>
    <w:rsid w:val="00B75824"/>
    <w:rsid w:val="00B758BC"/>
    <w:rsid w:val="00B76ED2"/>
    <w:rsid w:val="00B808C4"/>
    <w:rsid w:val="00B91B9E"/>
    <w:rsid w:val="00B91C13"/>
    <w:rsid w:val="00B956B7"/>
    <w:rsid w:val="00BA055D"/>
    <w:rsid w:val="00BA36D9"/>
    <w:rsid w:val="00BA4DD7"/>
    <w:rsid w:val="00BB1C9C"/>
    <w:rsid w:val="00BB2986"/>
    <w:rsid w:val="00BB3252"/>
    <w:rsid w:val="00BC1496"/>
    <w:rsid w:val="00BC4A84"/>
    <w:rsid w:val="00BC7D71"/>
    <w:rsid w:val="00BD1433"/>
    <w:rsid w:val="00BD41BA"/>
    <w:rsid w:val="00BD4AAE"/>
    <w:rsid w:val="00BD6450"/>
    <w:rsid w:val="00BE3F19"/>
    <w:rsid w:val="00BF4489"/>
    <w:rsid w:val="00BF6971"/>
    <w:rsid w:val="00BF7213"/>
    <w:rsid w:val="00C02E9D"/>
    <w:rsid w:val="00C14E56"/>
    <w:rsid w:val="00C16834"/>
    <w:rsid w:val="00C20E8B"/>
    <w:rsid w:val="00C21717"/>
    <w:rsid w:val="00C36926"/>
    <w:rsid w:val="00C41A13"/>
    <w:rsid w:val="00C43CD5"/>
    <w:rsid w:val="00C4556E"/>
    <w:rsid w:val="00C460E9"/>
    <w:rsid w:val="00C50AFA"/>
    <w:rsid w:val="00C51545"/>
    <w:rsid w:val="00C52903"/>
    <w:rsid w:val="00C53854"/>
    <w:rsid w:val="00C53C0A"/>
    <w:rsid w:val="00C54400"/>
    <w:rsid w:val="00C547D8"/>
    <w:rsid w:val="00C56DF4"/>
    <w:rsid w:val="00C713B3"/>
    <w:rsid w:val="00C72AAA"/>
    <w:rsid w:val="00C73B64"/>
    <w:rsid w:val="00C74362"/>
    <w:rsid w:val="00C76CA0"/>
    <w:rsid w:val="00C77B17"/>
    <w:rsid w:val="00C91FFD"/>
    <w:rsid w:val="00CA1142"/>
    <w:rsid w:val="00CA12FD"/>
    <w:rsid w:val="00CA2DD1"/>
    <w:rsid w:val="00CA611F"/>
    <w:rsid w:val="00CB152E"/>
    <w:rsid w:val="00CB6D1E"/>
    <w:rsid w:val="00CB728D"/>
    <w:rsid w:val="00CB75EE"/>
    <w:rsid w:val="00CC229D"/>
    <w:rsid w:val="00CC3BD6"/>
    <w:rsid w:val="00CC7611"/>
    <w:rsid w:val="00CD0803"/>
    <w:rsid w:val="00CD4EE6"/>
    <w:rsid w:val="00CE2EED"/>
    <w:rsid w:val="00CE2F59"/>
    <w:rsid w:val="00CE39ED"/>
    <w:rsid w:val="00CF37C1"/>
    <w:rsid w:val="00CF7364"/>
    <w:rsid w:val="00CF7B67"/>
    <w:rsid w:val="00D02CC5"/>
    <w:rsid w:val="00D0398D"/>
    <w:rsid w:val="00D10718"/>
    <w:rsid w:val="00D15842"/>
    <w:rsid w:val="00D1706F"/>
    <w:rsid w:val="00D239B3"/>
    <w:rsid w:val="00D26930"/>
    <w:rsid w:val="00D31100"/>
    <w:rsid w:val="00D320D3"/>
    <w:rsid w:val="00D34E8D"/>
    <w:rsid w:val="00D426FE"/>
    <w:rsid w:val="00D42C2E"/>
    <w:rsid w:val="00D46D43"/>
    <w:rsid w:val="00D638DD"/>
    <w:rsid w:val="00D66F73"/>
    <w:rsid w:val="00D81861"/>
    <w:rsid w:val="00D82D3D"/>
    <w:rsid w:val="00D85DCC"/>
    <w:rsid w:val="00D92E03"/>
    <w:rsid w:val="00D930CA"/>
    <w:rsid w:val="00D97437"/>
    <w:rsid w:val="00DA4967"/>
    <w:rsid w:val="00DB1443"/>
    <w:rsid w:val="00DB37E9"/>
    <w:rsid w:val="00DB4435"/>
    <w:rsid w:val="00DB4486"/>
    <w:rsid w:val="00DC5207"/>
    <w:rsid w:val="00DD0487"/>
    <w:rsid w:val="00DD5B56"/>
    <w:rsid w:val="00DD76E0"/>
    <w:rsid w:val="00DD7834"/>
    <w:rsid w:val="00DE04F7"/>
    <w:rsid w:val="00DE51DE"/>
    <w:rsid w:val="00DE5DF5"/>
    <w:rsid w:val="00DE7DE7"/>
    <w:rsid w:val="00DF3418"/>
    <w:rsid w:val="00E005B3"/>
    <w:rsid w:val="00E052B1"/>
    <w:rsid w:val="00E05EA5"/>
    <w:rsid w:val="00E071B9"/>
    <w:rsid w:val="00E10889"/>
    <w:rsid w:val="00E127DA"/>
    <w:rsid w:val="00E2088F"/>
    <w:rsid w:val="00E21448"/>
    <w:rsid w:val="00E27E9F"/>
    <w:rsid w:val="00E301EC"/>
    <w:rsid w:val="00E32BB0"/>
    <w:rsid w:val="00E3313D"/>
    <w:rsid w:val="00E351A2"/>
    <w:rsid w:val="00E64C35"/>
    <w:rsid w:val="00E66989"/>
    <w:rsid w:val="00E84717"/>
    <w:rsid w:val="00E94581"/>
    <w:rsid w:val="00EA3776"/>
    <w:rsid w:val="00EA59A2"/>
    <w:rsid w:val="00EA65B8"/>
    <w:rsid w:val="00EB416A"/>
    <w:rsid w:val="00EB555D"/>
    <w:rsid w:val="00EC384A"/>
    <w:rsid w:val="00EC5079"/>
    <w:rsid w:val="00EC6223"/>
    <w:rsid w:val="00EC6F31"/>
    <w:rsid w:val="00ED01A3"/>
    <w:rsid w:val="00ED0C39"/>
    <w:rsid w:val="00EE2ED4"/>
    <w:rsid w:val="00EF580E"/>
    <w:rsid w:val="00F0024B"/>
    <w:rsid w:val="00F063AA"/>
    <w:rsid w:val="00F06982"/>
    <w:rsid w:val="00F07FA0"/>
    <w:rsid w:val="00F120D7"/>
    <w:rsid w:val="00F22E3E"/>
    <w:rsid w:val="00F27682"/>
    <w:rsid w:val="00F31815"/>
    <w:rsid w:val="00F3211E"/>
    <w:rsid w:val="00F36C11"/>
    <w:rsid w:val="00F4123E"/>
    <w:rsid w:val="00F42516"/>
    <w:rsid w:val="00F46E16"/>
    <w:rsid w:val="00F47F1A"/>
    <w:rsid w:val="00F51C1E"/>
    <w:rsid w:val="00F5355E"/>
    <w:rsid w:val="00F55EC1"/>
    <w:rsid w:val="00F60AE1"/>
    <w:rsid w:val="00F6498B"/>
    <w:rsid w:val="00F671FE"/>
    <w:rsid w:val="00F80234"/>
    <w:rsid w:val="00F82B0A"/>
    <w:rsid w:val="00F8417E"/>
    <w:rsid w:val="00F9051B"/>
    <w:rsid w:val="00F92520"/>
    <w:rsid w:val="00F96C7A"/>
    <w:rsid w:val="00FB07A7"/>
    <w:rsid w:val="00FB3D38"/>
    <w:rsid w:val="00FC7430"/>
    <w:rsid w:val="00FE27E3"/>
    <w:rsid w:val="00FF0A46"/>
    <w:rsid w:val="00FF37BD"/>
    <w:rsid w:val="070F1B94"/>
    <w:rsid w:val="10EF7082"/>
    <w:rsid w:val="3A9A767B"/>
    <w:rsid w:val="48B8445A"/>
    <w:rsid w:val="6AC14C47"/>
    <w:rsid w:val="76EB11A5"/>
    <w:rsid w:val="775A5A3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4"/>
    <w:basedOn w:val="1"/>
    <w:next w:val="1"/>
    <w:qFormat/>
    <w:uiPriority w:val="0"/>
    <w:pPr>
      <w:keepNext/>
      <w:keepLines/>
      <w:spacing w:before="280" w:after="290" w:line="376" w:lineRule="auto"/>
      <w:outlineLvl w:val="3"/>
    </w:pPr>
    <w:rPr>
      <w:rFonts w:ascii="Courier New" w:hAnsi="Courier New" w:eastAsia="Cambria Math" w:cs="Times New Roman"/>
      <w:b/>
      <w:bCs/>
      <w:sz w:val="28"/>
      <w:szCs w:val="28"/>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Normal Indent"/>
    <w:basedOn w:val="1"/>
    <w:link w:val="12"/>
    <w:uiPriority w:val="99"/>
    <w:rPr>
      <w:rFonts w:eastAsia="华文中宋"/>
      <w:sz w:val="28"/>
      <w:szCs w:val="28"/>
    </w:rPr>
  </w:style>
  <w:style w:type="paragraph" w:styleId="4">
    <w:name w:val="Body Text"/>
    <w:basedOn w:val="1"/>
    <w:qFormat/>
    <w:uiPriority w:val="0"/>
    <w:rPr>
      <w:sz w:val="44"/>
    </w:rPr>
  </w:style>
  <w:style w:type="paragraph" w:styleId="5">
    <w:name w:val="Date"/>
    <w:basedOn w:val="1"/>
    <w:next w:val="1"/>
    <w:link w:val="11"/>
    <w:uiPriority w:val="0"/>
    <w:pPr>
      <w:ind w:left="100" w:leftChars="2500"/>
    </w:pPr>
    <w:rPr>
      <w:rFonts w:ascii="仿宋_GB2312" w:hAnsi="宋体" w:eastAsia="仿宋_GB2312"/>
      <w:sz w:val="30"/>
      <w:szCs w:val="2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10">
    <w:name w:val="unnamed11"/>
    <w:qFormat/>
    <w:uiPriority w:val="0"/>
    <w:rPr>
      <w:sz w:val="21"/>
    </w:rPr>
  </w:style>
  <w:style w:type="character" w:customStyle="1" w:styleId="11">
    <w:name w:val="日期 Char"/>
    <w:basedOn w:val="9"/>
    <w:link w:val="5"/>
    <w:uiPriority w:val="0"/>
    <w:rPr>
      <w:rFonts w:ascii="仿宋_GB2312" w:hAnsi="宋体" w:eastAsia="仿宋_GB2312"/>
      <w:kern w:val="2"/>
      <w:sz w:val="30"/>
      <w:szCs w:val="28"/>
    </w:rPr>
  </w:style>
  <w:style w:type="character" w:customStyle="1" w:styleId="12">
    <w:name w:val="正文缩进 Char"/>
    <w:link w:val="3"/>
    <w:qFormat/>
    <w:locked/>
    <w:uiPriority w:val="99"/>
    <w:rPr>
      <w:rFonts w:eastAsia="华文中宋"/>
      <w:kern w:val="2"/>
      <w:sz w:val="28"/>
      <w:szCs w:val="28"/>
    </w:rPr>
  </w:style>
  <w:style w:type="paragraph" w:customStyle="1" w:styleId="13">
    <w:name w:val="Default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www.xdngs.com</Company>
  <Pages>6</Pages>
  <Words>399</Words>
  <Characters>2278</Characters>
  <Lines>18</Lines>
  <Paragraphs>5</Paragraphs>
  <TotalTime>12</TotalTime>
  <ScaleCrop>false</ScaleCrop>
  <LinksUpToDate>false</LinksUpToDate>
  <CharactersWithSpaces>2672</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2018-03-01T02:28:00Z</dcterms:created>
  <dc:creator>CN=李道金/OU=上饶市/O=jiangxi</dc:creator>
  <cp:lastModifiedBy>橘子、桔子</cp:lastModifiedBy>
  <cp:lastPrinted>2018-02-09T01:34:00Z</cp:lastPrinted>
  <dcterms:modified xsi:type="dcterms:W3CDTF">2020-05-07T02:15:54Z</dcterms:modified>
  <dc:title> </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