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spacing w:line="600" w:lineRule="exact"/>
        <w:jc w:val="center"/>
        <w:textAlignment w:val="auto"/>
        <w:rPr>
          <w:rFonts w:hint="eastAsia"/>
        </w:rPr>
      </w:pPr>
      <w:permStart w:id="0" w:edGrp="everyone"/>
      <w:permEnd w:id="0"/>
    </w:p>
    <w:p>
      <w:pPr>
        <w:pStyle w:val="4"/>
        <w:pageBreakBefore w:val="0"/>
        <w:widowControl w:val="0"/>
        <w:kinsoku/>
        <w:wordWrap/>
        <w:overflowPunct/>
        <w:topLinePunct w:val="0"/>
        <w:autoSpaceDE/>
        <w:autoSpaceDN/>
        <w:bidi w:val="0"/>
        <w:spacing w:line="600" w:lineRule="exact"/>
        <w:jc w:val="center"/>
        <w:textAlignment w:val="auto"/>
        <w:rPr>
          <w:rFonts w:hint="eastAsia"/>
        </w:rPr>
      </w:pPr>
    </w:p>
    <w:p>
      <w:pPr>
        <w:pStyle w:val="4"/>
        <w:pageBreakBefore w:val="0"/>
        <w:widowControl w:val="0"/>
        <w:kinsoku/>
        <w:wordWrap/>
        <w:overflowPunct/>
        <w:topLinePunct w:val="0"/>
        <w:autoSpaceDE/>
        <w:autoSpaceDN/>
        <w:bidi w:val="0"/>
        <w:spacing w:line="600" w:lineRule="exact"/>
        <w:jc w:val="center"/>
        <w:textAlignment w:val="auto"/>
        <w:rPr>
          <w:rFonts w:hint="eastAsia"/>
        </w:rPr>
      </w:pPr>
    </w:p>
    <w:p>
      <w:pPr>
        <w:pStyle w:val="4"/>
        <w:pageBreakBefore w:val="0"/>
        <w:widowControl w:val="0"/>
        <w:kinsoku/>
        <w:wordWrap/>
        <w:overflowPunct/>
        <w:topLinePunct w:val="0"/>
        <w:autoSpaceDE/>
        <w:autoSpaceDN/>
        <w:bidi w:val="0"/>
        <w:spacing w:line="600" w:lineRule="exact"/>
        <w:jc w:val="center"/>
        <w:textAlignment w:val="auto"/>
        <w:rPr>
          <w:rFonts w:hint="eastAsia"/>
        </w:rPr>
      </w:pPr>
    </w:p>
    <w:p>
      <w:pPr>
        <w:pStyle w:val="4"/>
        <w:pageBreakBefore w:val="0"/>
        <w:widowControl w:val="0"/>
        <w:kinsoku/>
        <w:wordWrap/>
        <w:overflowPunct/>
        <w:topLinePunct w:val="0"/>
        <w:autoSpaceDE/>
        <w:autoSpaceDN/>
        <w:bidi w:val="0"/>
        <w:spacing w:line="600" w:lineRule="exact"/>
        <w:jc w:val="center"/>
        <w:textAlignment w:val="auto"/>
        <w:rPr>
          <w:rFonts w:hint="eastAsia"/>
        </w:rPr>
      </w:pPr>
    </w:p>
    <w:p>
      <w:pPr>
        <w:pStyle w:val="4"/>
        <w:pageBreakBefore w:val="0"/>
        <w:widowControl w:val="0"/>
        <w:kinsoku/>
        <w:wordWrap/>
        <w:overflowPunct/>
        <w:topLinePunct w:val="0"/>
        <w:autoSpaceDE/>
        <w:autoSpaceDN/>
        <w:bidi w:val="0"/>
        <w:spacing w:line="600" w:lineRule="exact"/>
        <w:jc w:val="both"/>
        <w:textAlignment w:val="auto"/>
        <w:rPr>
          <w:rFonts w:hint="eastAsia"/>
        </w:rPr>
      </w:pPr>
    </w:p>
    <w:p>
      <w:pPr>
        <w:pStyle w:val="4"/>
        <w:pageBreakBefore w:val="0"/>
        <w:widowControl w:val="0"/>
        <w:kinsoku/>
        <w:wordWrap/>
        <w:overflowPunct/>
        <w:topLinePunct w:val="0"/>
        <w:autoSpaceDE/>
        <w:autoSpaceDN/>
        <w:bidi w:val="0"/>
        <w:spacing w:line="600" w:lineRule="exact"/>
        <w:ind w:firstLine="2240" w:firstLineChars="700"/>
        <w:textAlignment w:val="auto"/>
        <w:rPr>
          <w:rFonts w:hint="eastAsia" w:ascii="仿宋_GB2312" w:eastAsia="仿宋_GB2312"/>
          <w:sz w:val="32"/>
        </w:rPr>
      </w:pPr>
      <w:r>
        <w:rPr>
          <w:rFonts w:hint="eastAsia" w:ascii="仿宋_GB2312" w:eastAsia="仿宋_GB2312"/>
          <w:sz w:val="32"/>
        </w:rPr>
        <w:t>饶环</w:t>
      </w:r>
      <w:r>
        <w:rPr>
          <w:rFonts w:hint="eastAsia" w:ascii="仿宋_GB2312" w:eastAsia="仿宋_GB2312"/>
          <w:sz w:val="32"/>
          <w:lang w:eastAsia="zh-CN"/>
        </w:rPr>
        <w:t>评</w:t>
      </w:r>
      <w:r>
        <w:rPr>
          <w:rFonts w:hint="eastAsia" w:ascii="仿宋_GB2312" w:eastAsia="仿宋_GB2312"/>
          <w:sz w:val="32"/>
        </w:rPr>
        <w:t>字〔20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36</w:t>
      </w:r>
      <w:r>
        <w:rPr>
          <w:rFonts w:hint="eastAsia" w:ascii="仿宋_GB2312" w:eastAsia="仿宋_GB2312"/>
          <w:sz w:val="32"/>
        </w:rPr>
        <w:t>号</w:t>
      </w:r>
    </w:p>
    <w:p>
      <w:pPr>
        <w:pStyle w:val="4"/>
        <w:pageBreakBefore w:val="0"/>
        <w:widowControl w:val="0"/>
        <w:kinsoku/>
        <w:wordWrap/>
        <w:overflowPunct/>
        <w:topLinePunct w:val="0"/>
        <w:autoSpaceDE/>
        <w:autoSpaceDN/>
        <w:bidi w:val="0"/>
        <w:spacing w:line="600" w:lineRule="exact"/>
        <w:jc w:val="center"/>
        <w:textAlignment w:val="auto"/>
        <w:rPr>
          <w:rFonts w:hint="eastAsia"/>
        </w:rPr>
      </w:pPr>
    </w:p>
    <w:p>
      <w:pPr>
        <w:pStyle w:val="4"/>
        <w:pageBreakBefore w:val="0"/>
        <w:widowControl w:val="0"/>
        <w:kinsoku/>
        <w:wordWrap/>
        <w:overflowPunct/>
        <w:topLinePunct w:val="0"/>
        <w:autoSpaceDE/>
        <w:autoSpaceDN/>
        <w:bidi w:val="0"/>
        <w:spacing w:line="600" w:lineRule="exact"/>
        <w:jc w:val="center"/>
        <w:textAlignment w:val="auto"/>
        <w:rPr>
          <w:rFonts w:hint="eastAsia"/>
        </w:rPr>
      </w:pPr>
    </w:p>
    <w:p>
      <w:pPr>
        <w:pStyle w:val="4"/>
        <w:pageBreakBefore w:val="0"/>
        <w:widowControl w:val="0"/>
        <w:tabs>
          <w:tab w:val="left" w:pos="7380"/>
        </w:tabs>
        <w:kinsoku/>
        <w:wordWrap/>
        <w:overflowPunct/>
        <w:topLinePunct w:val="0"/>
        <w:autoSpaceDE/>
        <w:autoSpaceDN/>
        <w:bidi w:val="0"/>
        <w:spacing w:line="600" w:lineRule="exact"/>
        <w:jc w:val="center"/>
        <w:textAlignment w:val="auto"/>
        <w:rPr>
          <w:rFonts w:hint="eastAsia" w:ascii="方正小标宋简体" w:eastAsia="方正小标宋简体"/>
          <w:bCs/>
        </w:rPr>
      </w:pPr>
      <w:r>
        <w:rPr>
          <w:rFonts w:hint="eastAsia" w:ascii="方正小标宋简体" w:eastAsia="方正小标宋简体"/>
          <w:bCs/>
        </w:rPr>
        <w:t>关于江西万晟建设工程有限公司横峰县莲荷乡孙家茅普通建筑用石料矿开采项目</w:t>
      </w:r>
    </w:p>
    <w:p>
      <w:pPr>
        <w:pStyle w:val="4"/>
        <w:pageBreakBefore w:val="0"/>
        <w:widowControl w:val="0"/>
        <w:tabs>
          <w:tab w:val="left" w:pos="7380"/>
        </w:tabs>
        <w:kinsoku/>
        <w:wordWrap/>
        <w:overflowPunct/>
        <w:topLinePunct w:val="0"/>
        <w:autoSpaceDE/>
        <w:autoSpaceDN/>
        <w:bidi w:val="0"/>
        <w:spacing w:line="600" w:lineRule="exact"/>
        <w:jc w:val="center"/>
        <w:textAlignment w:val="auto"/>
        <w:rPr>
          <w:rFonts w:hint="eastAsia" w:ascii="方正小标宋简体" w:eastAsia="方正小标宋简体"/>
          <w:bCs/>
        </w:rPr>
      </w:pPr>
      <w:r>
        <w:rPr>
          <w:rFonts w:hint="eastAsia" w:ascii="方正小标宋简体" w:eastAsia="方正小标宋简体"/>
          <w:bCs/>
        </w:rPr>
        <w:t>环境影响报告书的批复</w:t>
      </w:r>
    </w:p>
    <w:p>
      <w:pPr>
        <w:pageBreakBefore w:val="0"/>
        <w:widowControl w:val="0"/>
        <w:kinsoku/>
        <w:wordWrap/>
        <w:overflowPunct/>
        <w:topLinePunct w:val="0"/>
        <w:autoSpaceDE/>
        <w:autoSpaceDN/>
        <w:bidi w:val="0"/>
        <w:spacing w:line="600" w:lineRule="exact"/>
        <w:textAlignment w:val="auto"/>
        <w:rPr>
          <w:rFonts w:hint="eastAsia" w:ascii="宋体" w:hAnsi="宋体"/>
          <w:sz w:val="32"/>
        </w:rPr>
      </w:pPr>
      <w:bookmarkStart w:id="0" w:name="_GoBack"/>
      <w:bookmarkEnd w:id="0"/>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sz w:val="32"/>
          <w:szCs w:val="32"/>
        </w:rPr>
      </w:pPr>
      <w:r>
        <w:rPr>
          <w:rFonts w:hint="eastAsia" w:ascii="仿宋_GB2312" w:eastAsia="仿宋_GB2312"/>
          <w:sz w:val="32"/>
          <w:szCs w:val="32"/>
        </w:rPr>
        <w:t>江西万晟建设工程有限公司：</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你公司呈报的《江西万晟建设工程有限公司横峰县莲荷乡孙家茅普通建筑用石料矿开采项目环境影响报告书》（以下简称《报告书》）收悉。经研究，现批复如下：</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黑体" w:hAnsi="黑体" w:eastAsia="黑体"/>
          <w:bCs/>
          <w:sz w:val="32"/>
          <w:szCs w:val="32"/>
        </w:rPr>
        <w:t>项目基本情况及项目批复意见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（一）项目基本情况。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vertAlign w:val="baseline"/>
          <w:lang w:val="en-US" w:eastAsia="zh-CN"/>
        </w:rPr>
      </w:pPr>
      <w:r>
        <w:rPr>
          <w:rFonts w:hint="eastAsia" w:ascii="仿宋_GB2312" w:hAnsi="宋体" w:eastAsia="仿宋_GB2312"/>
          <w:sz w:val="32"/>
          <w:szCs w:val="32"/>
        </w:rPr>
        <w:t>横峰县莲荷乡孙家茅普通建筑用石料矿位于上饶市横峰县45°方向4.2公里处，属横峰县莲荷乡管辖</w:t>
      </w:r>
      <w:r>
        <w:rPr>
          <w:rFonts w:hint="eastAsia" w:ascii="仿宋_GB2312" w:hAnsi="宋体" w:eastAsia="仿宋_GB2312"/>
          <w:sz w:val="32"/>
          <w:szCs w:val="32"/>
          <w:lang w:val="en-US" w:eastAsia="zh-CN"/>
        </w:rPr>
        <w:t>,矿区</w:t>
      </w:r>
      <w:r>
        <w:rPr>
          <w:rFonts w:hint="eastAsia" w:ascii="仿宋_GB2312" w:hAnsi="宋体" w:eastAsia="仿宋_GB2312"/>
          <w:sz w:val="32"/>
          <w:szCs w:val="32"/>
        </w:rPr>
        <w:t>为原有的老矿山</w:t>
      </w:r>
      <w:r>
        <w:rPr>
          <w:rFonts w:hint="eastAsia" w:ascii="仿宋_GB2312" w:hAnsi="宋体" w:eastAsia="仿宋_GB2312"/>
          <w:sz w:val="32"/>
          <w:szCs w:val="32"/>
          <w:lang w:eastAsia="zh-CN"/>
        </w:rPr>
        <w:t>。矿区开采面积为0.1507km</w:t>
      </w:r>
      <w:r>
        <w:rPr>
          <w:rFonts w:hint="eastAsia" w:ascii="仿宋_GB2312" w:hAnsi="宋体" w:eastAsia="仿宋_GB2312"/>
          <w:sz w:val="32"/>
          <w:szCs w:val="32"/>
          <w:vertAlign w:val="superscript"/>
          <w:lang w:eastAsia="zh-CN"/>
        </w:rPr>
        <w:t>2</w:t>
      </w:r>
      <w:r>
        <w:rPr>
          <w:rFonts w:hint="eastAsia" w:ascii="仿宋_GB2312" w:hAnsi="宋体" w:eastAsia="仿宋_GB2312"/>
          <w:sz w:val="32"/>
          <w:szCs w:val="32"/>
          <w:vertAlign w:val="baseline"/>
          <w:lang w:val="en-US" w:eastAsia="zh-CN"/>
        </w:rPr>
        <w:t>，矿体经济资源量（332）总计为263.10万吨（131.55万方），项目设计年开采50万吨（25万方/年），闭坑后复垦期0.5年，复垦后管护期约3年，矿区服务年限总计8.5年。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项目产品方案为：年开采普通建筑石料矿50万吨（规格为25×25×50cm），无破碎、筛分加工直接作为产品汽车外运。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项目属新建项目。项目总投资500万元，其中环保投资80万元。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项目批复意见。根据《报告书》的结论、市环境工程评估中心的评估意见（饶环技评书〔2020〕09号），你公司应全面落实环境影响报告书提出的各项污染防治措施及环境风险防范措施，缓解和控制不利环境影响。我局原则同意你公司“横峰县莲荷乡孙家茅普通建筑用石料矿开采项目”的建设。</w:t>
      </w:r>
    </w:p>
    <w:p>
      <w:pPr>
        <w:keepNext w:val="0"/>
        <w:keepLines w:val="0"/>
        <w:pageBreakBefore w:val="0"/>
        <w:widowControl w:val="0"/>
        <w:numPr>
          <w:ilvl w:val="0"/>
          <w:numId w:val="1"/>
        </w:numPr>
        <w:kinsoku/>
        <w:wordWrap/>
        <w:overflowPunct/>
        <w:topLinePunct w:val="0"/>
        <w:autoSpaceDE/>
        <w:autoSpaceDN/>
        <w:bidi w:val="0"/>
        <w:spacing w:line="60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项目要着重做好以下环境保护工作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项目在工程设计、建筑和生产过程中必须认真落实环境影响报告书提出的各项环保措施和要求，重点做好以下工作：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一）严格落实大气污染防治措施。项目产生的废气要按照《报告书》的要求治理，根据废气中污染物的类别和性质，采用成熟可靠工艺处理，确保废气污染物长期稳定达标排放。项目采用湿法切割，现场设置水喷淋装置，保持石料的湿度；矿石装载采用喷水降尘，运输道路采用水泥硬化同时对路面进行洒水清扫、运输车辆采用棚布遮盖等措施</w:t>
      </w:r>
      <w:r>
        <w:rPr>
          <w:rFonts w:hint="eastAsia" w:ascii="仿宋_GB2312" w:hAnsi="宋体" w:eastAsia="仿宋_GB2312"/>
          <w:sz w:val="32"/>
          <w:szCs w:val="32"/>
          <w:lang w:eastAsia="zh-CN"/>
        </w:rPr>
        <w:t>，降低废气产生量</w:t>
      </w:r>
      <w:r>
        <w:rPr>
          <w:rFonts w:hint="eastAsia" w:ascii="仿宋_GB2312" w:hAnsi="宋体" w:eastAsia="仿宋_GB2312"/>
          <w:sz w:val="32"/>
          <w:szCs w:val="32"/>
        </w:rPr>
        <w:t>。项目运营期大气污染物</w:t>
      </w:r>
      <w:r>
        <w:rPr>
          <w:rFonts w:hint="eastAsia" w:ascii="仿宋_GB2312" w:hAnsi="宋体" w:eastAsia="仿宋_GB2312"/>
          <w:sz w:val="32"/>
          <w:szCs w:val="32"/>
          <w:lang w:eastAsia="zh-CN"/>
        </w:rPr>
        <w:t>粉尘</w:t>
      </w:r>
      <w:r>
        <w:rPr>
          <w:rFonts w:hint="eastAsia" w:ascii="仿宋_GB2312" w:hAnsi="宋体" w:eastAsia="仿宋_GB2312"/>
          <w:sz w:val="32"/>
          <w:szCs w:val="32"/>
        </w:rPr>
        <w:t>排放</w:t>
      </w:r>
      <w:r>
        <w:rPr>
          <w:rFonts w:hint="eastAsia" w:ascii="仿宋_GB2312" w:hAnsi="宋体" w:eastAsia="仿宋_GB2312"/>
          <w:sz w:val="32"/>
          <w:szCs w:val="32"/>
          <w:lang w:eastAsia="zh-CN"/>
        </w:rPr>
        <w:t>执行</w:t>
      </w:r>
      <w:r>
        <w:rPr>
          <w:rFonts w:hint="eastAsia" w:ascii="仿宋_GB2312" w:hAnsi="宋体" w:eastAsia="仿宋_GB2312"/>
          <w:sz w:val="32"/>
          <w:szCs w:val="32"/>
        </w:rPr>
        <w:t>《大气污染物综合排放标准》（GB16297-1996）表2中无组织排放监控浓度限值。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（二）严格落实水污染防治措施。按照“清污分流、雨污分流、分质处理、一水多用”原则，合理制定废水收集、处理方案。项目</w:t>
      </w:r>
      <w:r>
        <w:rPr>
          <w:rFonts w:hint="eastAsia" w:ascii="仿宋_GB2312" w:hAnsi="宋体" w:eastAsia="仿宋_GB2312"/>
          <w:sz w:val="32"/>
          <w:szCs w:val="32"/>
          <w:lang w:eastAsia="zh-CN"/>
        </w:rPr>
        <w:t>生活污水经化粪池收集处理后用于周边灌溉施肥，不外排。采场切割废水经截排水沟收集后进入沉淀池混凝沉淀后回用，不外排。雨季淋溶水通过露天采场、临时排土场四周布设截排水沟收集后汇入混凝沉淀池（</w:t>
      </w:r>
      <w:r>
        <w:rPr>
          <w:rFonts w:hint="eastAsia" w:ascii="仿宋_GB2312" w:hAnsi="宋体" w:eastAsia="仿宋_GB2312"/>
          <w:sz w:val="32"/>
          <w:szCs w:val="32"/>
          <w:lang w:val="en-US" w:eastAsia="zh-CN"/>
        </w:rPr>
        <w:t>1500m</w:t>
      </w:r>
      <w:r>
        <w:rPr>
          <w:rFonts w:hint="eastAsia" w:ascii="仿宋_GB2312" w:hAnsi="宋体" w:eastAsia="仿宋_GB2312"/>
          <w:sz w:val="32"/>
          <w:szCs w:val="32"/>
          <w:vertAlign w:val="superscript"/>
          <w:lang w:val="en-US" w:eastAsia="zh-CN"/>
        </w:rPr>
        <w:t>3</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处理，经沉淀池处理达标后部分回用于矿区降尘，部分溢流排入矿区南侧小溪排入上畈河。项目生产废水经过沉淀处理后出水水质执行《污水综合排放标准》（GB8978-1996）一级标准的要求。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rPr>
        <w:t>（三）</w:t>
      </w:r>
      <w:r>
        <w:rPr>
          <w:rFonts w:hint="eastAsia" w:ascii="仿宋_GB2312" w:hAnsi="宋体" w:eastAsia="仿宋_GB2312"/>
          <w:sz w:val="32"/>
          <w:szCs w:val="32"/>
        </w:rPr>
        <w:t>加强固体废物污染防治。对项目产生的固体废物要按照《报告书》的要求进行治理，不得对周围环境造成污染。废土石属于第Ⅰ类一般工业固体废物，</w:t>
      </w:r>
      <w:r>
        <w:rPr>
          <w:rFonts w:hint="eastAsia" w:ascii="仿宋_GB2312" w:hAnsi="宋体" w:eastAsia="仿宋_GB2312"/>
          <w:sz w:val="32"/>
          <w:szCs w:val="32"/>
          <w:lang w:eastAsia="zh-CN"/>
        </w:rPr>
        <w:t>交</w:t>
      </w:r>
      <w:r>
        <w:rPr>
          <w:rFonts w:hint="eastAsia" w:ascii="仿宋_GB2312" w:hAnsi="宋体" w:eastAsia="仿宋_GB2312"/>
          <w:sz w:val="32"/>
          <w:szCs w:val="32"/>
        </w:rPr>
        <w:t>由余土公司定期外运</w:t>
      </w:r>
      <w:r>
        <w:rPr>
          <w:rFonts w:hint="eastAsia" w:ascii="仿宋_GB2312" w:hAnsi="宋体" w:eastAsia="仿宋_GB2312"/>
          <w:sz w:val="32"/>
          <w:szCs w:val="32"/>
          <w:lang w:eastAsia="zh-CN"/>
        </w:rPr>
        <w:t>处理</w:t>
      </w:r>
      <w:r>
        <w:rPr>
          <w:rFonts w:hint="eastAsia" w:ascii="仿宋_GB2312" w:hAnsi="宋体" w:eastAsia="仿宋_GB2312"/>
          <w:sz w:val="32"/>
          <w:szCs w:val="32"/>
        </w:rPr>
        <w:t>；废机油暂存于机修间内，</w:t>
      </w:r>
      <w:r>
        <w:rPr>
          <w:rFonts w:hint="eastAsia" w:ascii="仿宋_GB2312" w:hAnsi="宋体" w:eastAsia="仿宋_GB2312"/>
          <w:sz w:val="32"/>
          <w:szCs w:val="32"/>
          <w:lang w:eastAsia="zh-CN"/>
        </w:rPr>
        <w:t>交</w:t>
      </w:r>
      <w:r>
        <w:rPr>
          <w:rFonts w:hint="eastAsia" w:ascii="仿宋_GB2312" w:hAnsi="宋体" w:eastAsia="仿宋_GB2312"/>
          <w:sz w:val="32"/>
          <w:szCs w:val="32"/>
        </w:rPr>
        <w:t>由有资质单位处置；沉淀池污泥定期清理自然干化后集中清运至排土场堆放，用于后期露天采场复垦；含油废抹布和生活垃圾集中收集后统一清运</w:t>
      </w:r>
      <w:r>
        <w:rPr>
          <w:rFonts w:hint="eastAsia" w:ascii="仿宋_GB2312" w:hAnsi="宋体" w:eastAsia="仿宋_GB2312"/>
          <w:sz w:val="32"/>
          <w:szCs w:val="32"/>
          <w:lang w:eastAsia="zh-CN"/>
        </w:rPr>
        <w:t>处理</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加强噪声污染防治。项目噪声主要来源于采矿过程中切割、铲装、运输等。选用低噪声设备，合理安排工作时间和运输时间，尽量避开午间和夜间爆破和运输；加强运输车辆的管理和沿途道路的维护，经过村庄时应限速行进，禁鸣喇叭，分散进出，减少对居民的影响。采取消声、减震和加强厂区绿化等降噪措施，厂界昼夜间噪声排放</w:t>
      </w:r>
      <w:r>
        <w:rPr>
          <w:rFonts w:hint="eastAsia" w:ascii="仿宋_GB2312" w:hAnsi="宋体" w:eastAsia="仿宋_GB2312"/>
          <w:sz w:val="32"/>
          <w:szCs w:val="32"/>
          <w:lang w:eastAsia="zh-CN"/>
        </w:rPr>
        <w:t>执行</w:t>
      </w:r>
      <w:r>
        <w:rPr>
          <w:rFonts w:hint="eastAsia" w:ascii="仿宋_GB2312" w:hAnsi="宋体" w:eastAsia="仿宋_GB2312"/>
          <w:sz w:val="32"/>
          <w:szCs w:val="32"/>
        </w:rPr>
        <w:t>《工业企业厂界环境噪声排放标准》（GB12348-2008）2类标准。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（五）严格落实环境风险防范措施。严格落</w:t>
      </w:r>
      <w:r>
        <w:rPr>
          <w:rFonts w:hint="eastAsia" w:ascii="仿宋_GB2312" w:hAnsi="宋体" w:eastAsia="仿宋_GB2312"/>
          <w:sz w:val="32"/>
          <w:szCs w:val="32"/>
          <w:lang w:eastAsia="zh-CN"/>
        </w:rPr>
        <w:t>时</w:t>
      </w:r>
      <w:r>
        <w:rPr>
          <w:rFonts w:hint="eastAsia" w:ascii="仿宋_GB2312" w:hAnsi="宋体" w:eastAsia="仿宋_GB2312"/>
          <w:sz w:val="32"/>
          <w:szCs w:val="32"/>
        </w:rPr>
        <w:t>环境影响报告书中提出的各项环境风险防控措施，认真制定环境风险应急预案，配备环境应急设施和装备。</w:t>
      </w:r>
    </w:p>
    <w:p>
      <w:pPr>
        <w:keepNext w:val="0"/>
        <w:keepLines w:val="0"/>
        <w:pageBreakBefore w:val="0"/>
        <w:widowControl w:val="0"/>
        <w:tabs>
          <w:tab w:val="left" w:pos="3825"/>
          <w:tab w:val="left" w:pos="4680"/>
        </w:tabs>
        <w:kinsoku/>
        <w:wordWrap/>
        <w:overflowPunct/>
        <w:topLinePunct w:val="0"/>
        <w:autoSpaceDE/>
        <w:autoSpaceDN/>
        <w:bidi w:val="0"/>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）生态环境保护措施</w:t>
      </w:r>
      <w:r>
        <w:rPr>
          <w:rFonts w:hint="eastAsia" w:ascii="仿宋_GB2312" w:hAnsi="宋体" w:eastAsia="仿宋_GB2312"/>
          <w:sz w:val="32"/>
          <w:szCs w:val="32"/>
          <w:lang w:eastAsia="zh-CN"/>
        </w:rPr>
        <w:t>。</w:t>
      </w:r>
      <w:r>
        <w:rPr>
          <w:rFonts w:hint="eastAsia" w:ascii="仿宋_GB2312" w:hAnsi="宋体" w:eastAsia="仿宋_GB2312"/>
          <w:sz w:val="32"/>
          <w:szCs w:val="32"/>
        </w:rPr>
        <w:t>生产期对废水和固体废物加强管理，确保废水处理设施正常运行。对固体废物处置设施进行专门监管，</w:t>
      </w:r>
      <w:r>
        <w:rPr>
          <w:rFonts w:hint="eastAsia" w:ascii="仿宋_GB2312" w:hAnsi="宋体" w:eastAsia="仿宋_GB2312"/>
          <w:sz w:val="32"/>
          <w:szCs w:val="32"/>
          <w:lang w:eastAsia="zh-CN"/>
        </w:rPr>
        <w:t>防治</w:t>
      </w:r>
      <w:r>
        <w:rPr>
          <w:rFonts w:hint="eastAsia" w:ascii="仿宋_GB2312" w:hAnsi="宋体" w:eastAsia="仿宋_GB2312"/>
          <w:sz w:val="32"/>
          <w:szCs w:val="32"/>
        </w:rPr>
        <w:t>水土流失。对于已开采区应在不影响后续开采的前提下尽早进行生态恢复。</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）项目周边规划控制要求。</w:t>
      </w:r>
      <w:r>
        <w:rPr>
          <w:rFonts w:hint="eastAsia" w:ascii="仿宋_GB2312" w:hAnsi="仿宋_GB2312" w:eastAsia="仿宋_GB2312" w:cs="仿宋_GB2312"/>
          <w:sz w:val="32"/>
          <w:szCs w:val="32"/>
        </w:rPr>
        <w:t>根据报告书计算</w:t>
      </w:r>
      <w:r>
        <w:rPr>
          <w:rFonts w:hint="eastAsia" w:ascii="仿宋_GB2312" w:hAnsi="仿宋_GB2312" w:eastAsia="仿宋_GB2312" w:cs="仿宋_GB2312"/>
          <w:sz w:val="32"/>
          <w:szCs w:val="32"/>
          <w:lang w:eastAsia="zh-CN"/>
        </w:rPr>
        <w:t>，项目的防护距离为矿区工作面向外50m以内的范围</w:t>
      </w:r>
      <w:r>
        <w:rPr>
          <w:rFonts w:hint="eastAsia" w:ascii="仿宋_GB2312" w:hAnsi="仿宋_GB2312" w:eastAsia="仿宋_GB2312" w:cs="仿宋_GB2312"/>
          <w:sz w:val="32"/>
          <w:szCs w:val="32"/>
        </w:rPr>
        <w:t>。</w:t>
      </w:r>
      <w:r>
        <w:rPr>
          <w:rFonts w:hint="eastAsia" w:ascii="仿宋_GB2312" w:eastAsia="仿宋_GB2312"/>
          <w:sz w:val="32"/>
          <w:szCs w:val="32"/>
          <w:lang w:eastAsia="zh-CN"/>
        </w:rPr>
        <w:t>你公司应配合横峰县人民政府，严格控制好本项目周边规划，项目卫生防护距离范围内不得新建居民住宅、学校及医院等环境敏感性建筑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）排污口规范化要求。按规定设置规范的污染物排放口，设立相应的标志牌。</w:t>
      </w:r>
    </w:p>
    <w:p>
      <w:pPr>
        <w:keepNext w:val="0"/>
        <w:keepLines w:val="0"/>
        <w:pageBreakBefore w:val="0"/>
        <w:widowControl w:val="0"/>
        <w:kinsoku/>
        <w:wordWrap/>
        <w:overflowPunct/>
        <w:topLinePunct w:val="0"/>
        <w:autoSpaceDE/>
        <w:autoSpaceDN/>
        <w:bidi w:val="0"/>
        <w:spacing w:line="600" w:lineRule="exact"/>
        <w:ind w:firstLine="680"/>
        <w:textAlignment w:val="auto"/>
        <w:rPr>
          <w:rFonts w:hint="eastAsia" w:ascii="仿宋_GB2312" w:hAnsi="宋体" w:eastAsia="仿宋_GB2312"/>
          <w:sz w:val="32"/>
        </w:rPr>
      </w:pPr>
      <w:r>
        <w:rPr>
          <w:rFonts w:hint="eastAsia" w:ascii="仿宋_GB2312" w:hAnsi="宋体" w:eastAsia="仿宋_GB2312"/>
          <w:sz w:val="32"/>
        </w:rPr>
        <w:t>（</w:t>
      </w:r>
      <w:r>
        <w:rPr>
          <w:rFonts w:hint="eastAsia" w:ascii="仿宋_GB2312" w:hAnsi="宋体" w:eastAsia="仿宋_GB2312"/>
          <w:sz w:val="32"/>
          <w:lang w:eastAsia="zh-CN"/>
        </w:rPr>
        <w:t>九</w:t>
      </w:r>
      <w:r>
        <w:rPr>
          <w:rFonts w:hint="eastAsia" w:ascii="仿宋_GB2312" w:hAnsi="宋体" w:eastAsia="仿宋_GB2312"/>
          <w:sz w:val="32"/>
        </w:rPr>
        <w:t>）公众参与要求。在工程施工和运营过程中，应建立畅通的公众参与平台，及时解决公众担忧的环境问题，满足公众合理的环境保护要求。定期发布企业环境信息，并主动接受社会监督。</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仿宋_GB2312" w:hAnsi="宋体" w:eastAsia="仿宋_GB2312"/>
          <w:sz w:val="32"/>
        </w:rPr>
      </w:pPr>
      <w:r>
        <w:rPr>
          <w:rFonts w:hint="eastAsia" w:ascii="仿宋_GB2312" w:hAnsi="宋体" w:eastAsia="仿宋_GB2312"/>
          <w:sz w:val="32"/>
        </w:rPr>
        <w:t>（十）建立健全环境管理。加强环保设施运行维护和管理，制定严格的环境保护岗位责任制，确保污染治理设施稳定正常运行，</w:t>
      </w:r>
      <w:r>
        <w:rPr>
          <w:rFonts w:hint="eastAsia" w:eastAsia="仿宋_GB2312"/>
          <w:sz w:val="32"/>
        </w:rPr>
        <w:t>建立污染治理设施运行台账，</w:t>
      </w:r>
      <w:r>
        <w:rPr>
          <w:rFonts w:hint="eastAsia" w:ascii="仿宋_GB2312" w:hAnsi="宋体" w:eastAsia="仿宋_GB2312"/>
          <w:sz w:val="32"/>
        </w:rPr>
        <w:t>严禁擅自闲置、停用环保治理设施，杜绝事故性污染排放，确保各项污染物达标排放。</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黑体" w:hAnsi="黑体" w:eastAsia="黑体"/>
          <w:sz w:val="32"/>
          <w:szCs w:val="32"/>
        </w:rPr>
      </w:pPr>
      <w:r>
        <w:rPr>
          <w:rFonts w:hint="eastAsia" w:ascii="黑体" w:hAnsi="黑体" w:eastAsia="黑体"/>
          <w:sz w:val="32"/>
          <w:szCs w:val="32"/>
        </w:rPr>
        <w:t>三、项目竣工验收的环保要求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仿宋_GB2312" w:hAnsi="宋体" w:eastAsia="仿宋_GB2312"/>
          <w:sz w:val="32"/>
        </w:rPr>
      </w:pPr>
      <w:r>
        <w:rPr>
          <w:rFonts w:hint="eastAsia" w:ascii="仿宋_GB2312" w:hAnsi="宋体" w:eastAsia="仿宋_GB2312"/>
          <w:sz w:val="32"/>
        </w:rPr>
        <w:t>项目建设必须严格执行环境保护设施与主体工程同时设计、同时施工、同时投入使用的环境保护“三同时”制度，落实各项环境保护措施。你公司应当按照相关规定要求，对配套建设的环境保护设施进行验收，编制验收报告，并依法向社会公开。你公司在环境保护设施验收过程中，应当如实查验、监测、记载建设项目环境保护设施的建设和调试情况，不得弄虚作假。</w:t>
      </w:r>
    </w:p>
    <w:p>
      <w:pPr>
        <w:keepNext w:val="0"/>
        <w:keepLines w:val="0"/>
        <w:pageBreakBefore w:val="0"/>
        <w:widowControl w:val="0"/>
        <w:kinsoku/>
        <w:wordWrap/>
        <w:overflowPunct/>
        <w:topLinePunct w:val="0"/>
        <w:autoSpaceDE/>
        <w:autoSpaceDN/>
        <w:bidi w:val="0"/>
        <w:adjustRightInd w:val="0"/>
        <w:snapToGrid w:val="0"/>
        <w:spacing w:line="600" w:lineRule="exact"/>
        <w:ind w:firstLine="680"/>
        <w:textAlignment w:val="auto"/>
        <w:rPr>
          <w:rFonts w:hint="eastAsia"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sz w:val="32"/>
          <w:szCs w:val="32"/>
        </w:rPr>
      </w:pPr>
      <w:r>
        <w:rPr>
          <w:rFonts w:hint="eastAsia" w:ascii="仿宋_GB2312" w:hAnsi="仿宋" w:eastAsia="仿宋_GB2312"/>
          <w:sz w:val="32"/>
          <w:szCs w:val="32"/>
        </w:rPr>
        <w:t>（一）</w:t>
      </w:r>
      <w:r>
        <w:rPr>
          <w:rFonts w:hint="eastAsia" w:ascii="仿宋_GB2312" w:eastAsia="仿宋_GB2312"/>
          <w:color w:val="000000"/>
          <w:sz w:val="32"/>
          <w:szCs w:val="32"/>
        </w:rPr>
        <w:t>重新办理环评审批要求。本次批复仅限于《报告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》确定项目的内容，项目的性质、规模、地点或者防治污染、防止生态破坏的措施发生重大变动或审批后超过五年后动工建设的，应按照法律法规的规定，重新办理环评审批手续。</w:t>
      </w:r>
    </w:p>
    <w:p>
      <w:pPr>
        <w:keepNext w:val="0"/>
        <w:keepLines w:val="0"/>
        <w:pageBreakBefore w:val="0"/>
        <w:widowControl w:val="0"/>
        <w:kinsoku/>
        <w:wordWrap/>
        <w:overflowPunct/>
        <w:topLinePunct w:val="0"/>
        <w:autoSpaceDE/>
        <w:autoSpaceDN/>
        <w:bidi w:val="0"/>
        <w:spacing w:line="600" w:lineRule="exact"/>
        <w:ind w:firstLine="680"/>
        <w:jc w:val="left"/>
        <w:textAlignment w:val="auto"/>
        <w:rPr>
          <w:rFonts w:hint="eastAsia" w:ascii="仿宋_GB2312" w:hAnsi="宋体" w:eastAsia="仿宋_GB2312"/>
          <w:sz w:val="32"/>
        </w:rPr>
      </w:pPr>
      <w:r>
        <w:rPr>
          <w:rFonts w:hint="eastAsia" w:ascii="仿宋_GB2312" w:eastAsia="仿宋_GB2312"/>
          <w:color w:val="000000"/>
          <w:sz w:val="32"/>
          <w:szCs w:val="32"/>
        </w:rPr>
        <w:t>（二）项目监督管理要求。请</w:t>
      </w:r>
      <w:r>
        <w:rPr>
          <w:rFonts w:hint="eastAsia" w:ascii="仿宋_GB2312" w:eastAsia="仿宋_GB2312"/>
          <w:color w:val="000000"/>
          <w:sz w:val="32"/>
          <w:szCs w:val="32"/>
          <w:lang w:eastAsia="zh-CN"/>
        </w:rPr>
        <w:t>上饶市横峰生态环境</w:t>
      </w:r>
      <w:r>
        <w:rPr>
          <w:rFonts w:hint="eastAsia" w:ascii="仿宋_GB2312" w:eastAsia="仿宋_GB2312"/>
          <w:color w:val="000000"/>
          <w:sz w:val="32"/>
          <w:szCs w:val="32"/>
        </w:rPr>
        <w:t>局加强本项目的日常监督管理。你公司应在收到本批复后20个工作日内，将批准后的环境影响报告</w:t>
      </w:r>
      <w:r>
        <w:rPr>
          <w:rFonts w:hint="eastAsia" w:ascii="仿宋_GB2312" w:eastAsia="仿宋_GB2312"/>
          <w:color w:val="000000"/>
          <w:sz w:val="32"/>
          <w:szCs w:val="32"/>
          <w:lang w:eastAsia="zh-CN"/>
        </w:rPr>
        <w:t>书</w:t>
      </w:r>
      <w:r>
        <w:rPr>
          <w:rFonts w:hint="eastAsia" w:ascii="仿宋_GB2312" w:eastAsia="仿宋_GB2312"/>
          <w:color w:val="000000"/>
          <w:sz w:val="32"/>
          <w:szCs w:val="32"/>
        </w:rPr>
        <w:t>及其批复送</w:t>
      </w:r>
      <w:r>
        <w:rPr>
          <w:rFonts w:hint="eastAsia" w:ascii="仿宋_GB2312" w:eastAsia="仿宋_GB2312"/>
          <w:color w:val="000000"/>
          <w:sz w:val="32"/>
          <w:szCs w:val="32"/>
          <w:lang w:eastAsia="zh-CN"/>
        </w:rPr>
        <w:t>上饶市横峰生态环境</w:t>
      </w:r>
      <w:r>
        <w:rPr>
          <w:rFonts w:hint="eastAsia" w:ascii="仿宋_GB2312" w:eastAsia="仿宋_GB2312"/>
          <w:color w:val="000000"/>
          <w:sz w:val="32"/>
          <w:szCs w:val="32"/>
        </w:rPr>
        <w:t>局，并按规定接受各级环境保护行政主管部门的监督检查。</w:t>
      </w: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Style w:val="2"/>
        <w:pageBreakBefore w:val="0"/>
        <w:widowControl w:val="0"/>
        <w:kinsoku/>
        <w:wordWrap/>
        <w:overflowPunct/>
        <w:topLinePunct w:val="0"/>
        <w:autoSpaceDE/>
        <w:autoSpaceDN/>
        <w:bidi w:val="0"/>
        <w:spacing w:line="600" w:lineRule="exact"/>
        <w:textAlignment w:val="auto"/>
        <w:rPr>
          <w:rFonts w:hint="eastAsia"/>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ind w:firstLine="4800" w:firstLineChars="1500"/>
        <w:textAlignment w:val="auto"/>
        <w:rPr>
          <w:rFonts w:hint="eastAsia" w:ascii="仿宋_GB2312" w:hAnsi="宋体" w:eastAsia="仿宋_GB2312"/>
          <w:sz w:val="32"/>
        </w:rPr>
      </w:pPr>
      <w:r>
        <w:rPr>
          <w:rFonts w:hint="eastAsia" w:ascii="仿宋_GB2312" w:hAnsi="宋体" w:eastAsia="仿宋_GB2312"/>
          <w:sz w:val="32"/>
        </w:rPr>
        <w:t>20</w:t>
      </w:r>
      <w:r>
        <w:rPr>
          <w:rFonts w:hint="eastAsia" w:ascii="仿宋_GB2312" w:hAnsi="宋体" w:eastAsia="仿宋_GB2312"/>
          <w:sz w:val="32"/>
          <w:lang w:val="en-US" w:eastAsia="zh-CN"/>
        </w:rPr>
        <w:t>20</w:t>
      </w:r>
      <w:r>
        <w:rPr>
          <w:rFonts w:hint="eastAsia" w:ascii="仿宋_GB2312" w:hAnsi="宋体" w:eastAsia="仿宋_GB2312"/>
          <w:sz w:val="32"/>
        </w:rPr>
        <w:t>年</w:t>
      </w:r>
      <w:r>
        <w:rPr>
          <w:rFonts w:hint="eastAsia" w:ascii="仿宋_GB2312" w:hAnsi="宋体" w:eastAsia="仿宋_GB2312"/>
          <w:sz w:val="32"/>
          <w:lang w:val="en-US" w:eastAsia="zh-CN"/>
        </w:rPr>
        <w:t>4</w:t>
      </w:r>
      <w:r>
        <w:rPr>
          <w:rFonts w:hint="eastAsia" w:ascii="仿宋_GB2312" w:hAnsi="宋体" w:eastAsia="仿宋_GB2312"/>
          <w:sz w:val="32"/>
        </w:rPr>
        <w:t>月</w:t>
      </w:r>
      <w:r>
        <w:rPr>
          <w:rFonts w:hint="eastAsia" w:ascii="仿宋_GB2312" w:hAnsi="宋体" w:eastAsia="仿宋_GB2312"/>
          <w:sz w:val="32"/>
          <w:lang w:val="en-US" w:eastAsia="zh-CN"/>
        </w:rPr>
        <w:t>28</w:t>
      </w:r>
      <w:r>
        <w:rPr>
          <w:rFonts w:hint="eastAsia" w:ascii="仿宋_GB2312" w:hAnsi="宋体" w:eastAsia="仿宋_GB2312"/>
          <w:sz w:val="32"/>
        </w:rPr>
        <w:t>日</w:t>
      </w: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r>
        <w:rPr>
          <w:rFonts w:hint="eastAsia" w:ascii="仿宋_GB2312" w:hAnsi="宋体" w:eastAsia="仿宋_GB2312"/>
          <w:sz w:val="32"/>
        </w:rPr>
        <w:t>（此件主动公开）</w:t>
      </w: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Style w:val="2"/>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pStyle w:val="2"/>
        <w:rPr>
          <w:rFonts w:hint="eastAsia"/>
        </w:rPr>
      </w:pPr>
    </w:p>
    <w:p>
      <w:pPr>
        <w:pageBreakBefore w:val="0"/>
        <w:widowControl w:val="0"/>
        <w:kinsoku/>
        <w:wordWrap/>
        <w:overflowPunct/>
        <w:topLinePunct w:val="0"/>
        <w:autoSpaceDE/>
        <w:autoSpaceDN/>
        <w:bidi w:val="0"/>
        <w:spacing w:line="600" w:lineRule="exact"/>
        <w:textAlignment w:val="auto"/>
        <w:rPr>
          <w:rFonts w:hint="eastAsia" w:ascii="仿宋_GB2312" w:hAnsi="宋体" w:eastAsia="仿宋_GB2312"/>
          <w:sz w:val="32"/>
        </w:rPr>
      </w:pPr>
    </w:p>
    <w:p>
      <w:pPr>
        <w:keepNext w:val="0"/>
        <w:keepLines w:val="0"/>
        <w:pageBreakBefore w:val="0"/>
        <w:widowControl w:val="0"/>
        <w:kinsoku/>
        <w:wordWrap/>
        <w:overflowPunct/>
        <w:topLinePunct w:val="0"/>
        <w:autoSpaceDE/>
        <w:autoSpaceDN/>
        <w:bidi w:val="0"/>
        <w:adjustRightInd/>
        <w:snapToGrid/>
        <w:spacing w:line="500" w:lineRule="exact"/>
        <w:ind w:left="841" w:leftChars="67" w:hanging="700" w:hangingChars="250"/>
        <w:textAlignment w:val="auto"/>
        <w:rPr>
          <w:rFonts w:hint="eastAsia" w:ascii="仿宋_GB2312" w:hAnsi="宋体"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hV/3QAAAAAgEAAA8AAAAAAAAAAQAgAAAAIgAAAGRycy9kb3ducmV2LnhtbFBLAQIUABQA&#10;AAAIAIdO4kBFBrirvwEAAIsDAAAOAAAAAAAAAAEAIAAAAB8BAABkcnMvZTJvRG9jLnhtbFBLBQYA&#10;AAAABgAGAFkBAABQBQAAAAA=&#10;">
                <v:fill on="f" focussize="0,0"/>
                <v:stroke color="#000000" joinstyle="round"/>
                <v:imagedata o:title=""/>
                <o:lock v:ext="edit" aspectratio="f"/>
              </v:line>
            </w:pict>
          </mc:Fallback>
        </mc:AlternateContent>
      </w:r>
      <w:r>
        <w:rPr>
          <w:rFonts w:hint="eastAsia" w:ascii="仿宋_GB2312" w:hAnsi="宋体" w:eastAsia="仿宋_GB2312"/>
          <w:sz w:val="28"/>
          <w:szCs w:val="28"/>
        </w:rPr>
        <w:t>抄送：</w:t>
      </w:r>
      <w:r>
        <w:rPr>
          <w:rFonts w:hint="eastAsia" w:ascii="仿宋_GB2312" w:hAnsi="宋体" w:eastAsia="仿宋_GB2312"/>
          <w:sz w:val="28"/>
          <w:szCs w:val="28"/>
          <w:lang w:eastAsia="zh-CN"/>
        </w:rPr>
        <w:t>横峰</w:t>
      </w:r>
      <w:r>
        <w:rPr>
          <w:rFonts w:hint="eastAsia" w:ascii="仿宋_GB2312" w:hAnsi="宋体" w:eastAsia="仿宋_GB2312"/>
          <w:sz w:val="28"/>
          <w:szCs w:val="28"/>
        </w:rPr>
        <w:t>县</w:t>
      </w:r>
      <w:r>
        <w:rPr>
          <w:rFonts w:hint="eastAsia" w:ascii="仿宋_GB2312" w:hAnsi="宋体" w:eastAsia="仿宋_GB2312"/>
          <w:sz w:val="28"/>
          <w:szCs w:val="28"/>
          <w:lang w:eastAsia="zh-CN"/>
        </w:rPr>
        <w:t>人民</w:t>
      </w:r>
      <w:r>
        <w:rPr>
          <w:rFonts w:hint="eastAsia" w:ascii="仿宋_GB2312" w:hAnsi="宋体" w:eastAsia="仿宋_GB2312"/>
          <w:sz w:val="28"/>
          <w:szCs w:val="28"/>
        </w:rPr>
        <w:t>政府，</w:t>
      </w:r>
      <w:r>
        <w:rPr>
          <w:rFonts w:hint="eastAsia" w:ascii="仿宋_GB2312" w:hAnsi="宋体" w:eastAsia="仿宋_GB2312"/>
          <w:sz w:val="28"/>
          <w:szCs w:val="28"/>
          <w:lang w:eastAsia="zh-CN"/>
        </w:rPr>
        <w:t>上饶市横峰生态环境</w:t>
      </w:r>
      <w:r>
        <w:rPr>
          <w:rFonts w:hint="eastAsia" w:ascii="仿宋_GB2312" w:hAnsi="宋体" w:eastAsia="仿宋_GB2312"/>
          <w:sz w:val="28"/>
          <w:szCs w:val="28"/>
        </w:rPr>
        <w:t>局，上饶市生态环境保护综合执法支队，</w:t>
      </w:r>
      <w:r>
        <w:rPr>
          <w:rFonts w:hint="eastAsia" w:ascii="仿宋_GB2312" w:hAnsi="宋体" w:eastAsia="仿宋_GB2312"/>
          <w:sz w:val="28"/>
          <w:szCs w:val="28"/>
          <w:lang w:eastAsia="zh-CN"/>
        </w:rPr>
        <w:t>江西融大环境</w:t>
      </w:r>
      <w:r>
        <w:rPr>
          <w:rFonts w:hint="eastAsia" w:ascii="仿宋_GB2312" w:hAnsi="宋体" w:eastAsia="仿宋_GB2312"/>
          <w:sz w:val="28"/>
          <w:szCs w:val="28"/>
        </w:rPr>
        <w:t>技术咨询有限公司。</w:t>
      </w:r>
    </w:p>
    <w:p>
      <w:pPr>
        <w:keepNext w:val="0"/>
        <w:keepLines w:val="0"/>
        <w:pageBreakBefore w:val="0"/>
        <w:widowControl w:val="0"/>
        <w:kinsoku/>
        <w:wordWrap/>
        <w:overflowPunct/>
        <w:topLinePunct w:val="0"/>
        <w:autoSpaceDE/>
        <w:autoSpaceDN/>
        <w:bidi w:val="0"/>
        <w:adjustRightInd/>
        <w:snapToGrid/>
        <w:spacing w:line="500" w:lineRule="exact"/>
        <w:ind w:firstLine="140" w:firstLineChars="50"/>
        <w:textAlignment w:val="auto"/>
      </w:pP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257800" cy="0"/>
                <wp:effectExtent l="0" t="0" r="0" b="0"/>
                <wp:wrapNone/>
                <wp:docPr id="3" name="Line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31.2pt;height:0pt;width:414pt;z-index:251660288;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mx/cdMAAAAGAQAADwAAAAAAAAABACAAAAAiAAAAZHJzL2Rvd25yZXYueG1sUEsB&#10;AhQAFAAAAAgAh07iQGTQRGTBAQAAiwMAAA4AAAAAAAAAAQAgAAAAIgEAAGRycy9lMm9Eb2MueG1s&#10;UEsFBgAAAAAGAAYAWQEAAFUFAAAAAA==&#10;">
                <v:fill on="f" focussize="0,0"/>
                <v:stroke color="#000000" joinstyle="round"/>
                <v:imagedata o:title=""/>
                <o:lock v:ext="edit" aspectratio="f"/>
              </v:line>
            </w:pict>
          </mc:Fallback>
        </mc:AlternateContent>
      </w: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YVf90AAAAAIBAAAPAAAAAAAAAAEAIAAAACIAAABkcnMvZG93bnJldi54bWxQSwECFAAU&#10;AAAACACHTuJArD3nmsABAACLAwAADgAAAAAAAAABACAAAAAfAQAAZHJzL2Uyb0RvYy54bWxQSwUG&#10;AAAAAAYABgBZAQAAUQUAAAAA&#10;">
                <v:fill on="f" focussize="0,0"/>
                <v:stroke color="#000000" joinstyle="round"/>
                <v:imagedata o:title=""/>
                <o:lock v:ext="edit" aspectratio="f"/>
              </v:line>
            </w:pict>
          </mc:Fallback>
        </mc:AlternateContent>
      </w:r>
      <w:r>
        <w:rPr>
          <w:rFonts w:hint="eastAsia" w:ascii="仿宋_GB2312" w:hAnsi="宋体" w:eastAsia="仿宋_GB2312"/>
          <w:sz w:val="28"/>
          <w:szCs w:val="28"/>
        </w:rPr>
        <w:t>上饶市</w:t>
      </w:r>
      <w:r>
        <w:rPr>
          <w:rFonts w:hint="eastAsia" w:ascii="仿宋_GB2312" w:hAnsi="宋体" w:eastAsia="仿宋_GB2312"/>
          <w:sz w:val="28"/>
          <w:szCs w:val="28"/>
          <w:lang w:eastAsia="zh-CN"/>
        </w:rPr>
        <w:t>生态环境</w:t>
      </w:r>
      <w:r>
        <w:rPr>
          <w:rFonts w:hint="eastAsia" w:ascii="仿宋_GB2312" w:hAnsi="宋体" w:eastAsia="仿宋_GB2312"/>
          <w:sz w:val="28"/>
          <w:szCs w:val="28"/>
        </w:rPr>
        <w:t xml:space="preserve">局办公室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28</w:t>
      </w:r>
      <w:r>
        <w:rPr>
          <w:rFonts w:hint="eastAsia" w:ascii="仿宋_GB2312" w:hAnsi="宋体" w:eastAsia="仿宋_GB2312"/>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70E3"/>
    <w:multiLevelType w:val="singleLevel"/>
    <w:tmpl w:val="53E970E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C0"/>
    <w:rsid w:val="00004E50"/>
    <w:rsid w:val="00006B71"/>
    <w:rsid w:val="000124DE"/>
    <w:rsid w:val="00016109"/>
    <w:rsid w:val="00017834"/>
    <w:rsid w:val="00023B0F"/>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D25"/>
    <w:rsid w:val="001106BE"/>
    <w:rsid w:val="00110A70"/>
    <w:rsid w:val="001112C2"/>
    <w:rsid w:val="00113723"/>
    <w:rsid w:val="00113901"/>
    <w:rsid w:val="00113C09"/>
    <w:rsid w:val="00120620"/>
    <w:rsid w:val="001213CD"/>
    <w:rsid w:val="00124E8C"/>
    <w:rsid w:val="00126120"/>
    <w:rsid w:val="001339D0"/>
    <w:rsid w:val="00135F47"/>
    <w:rsid w:val="00142AEC"/>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D10F5"/>
    <w:rsid w:val="001D4F8C"/>
    <w:rsid w:val="001D79ED"/>
    <w:rsid w:val="001E2875"/>
    <w:rsid w:val="001E2F9E"/>
    <w:rsid w:val="001E3500"/>
    <w:rsid w:val="001E765C"/>
    <w:rsid w:val="001E79BB"/>
    <w:rsid w:val="001F0962"/>
    <w:rsid w:val="001F4611"/>
    <w:rsid w:val="001F7694"/>
    <w:rsid w:val="002001F3"/>
    <w:rsid w:val="00203F5A"/>
    <w:rsid w:val="00207F35"/>
    <w:rsid w:val="00212099"/>
    <w:rsid w:val="00212B49"/>
    <w:rsid w:val="00213951"/>
    <w:rsid w:val="002230E5"/>
    <w:rsid w:val="00226192"/>
    <w:rsid w:val="00226AA3"/>
    <w:rsid w:val="00227A81"/>
    <w:rsid w:val="0023214F"/>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6298"/>
    <w:rsid w:val="00301F58"/>
    <w:rsid w:val="00302167"/>
    <w:rsid w:val="00303817"/>
    <w:rsid w:val="00305222"/>
    <w:rsid w:val="00305F3C"/>
    <w:rsid w:val="003102A1"/>
    <w:rsid w:val="00314B11"/>
    <w:rsid w:val="003158F3"/>
    <w:rsid w:val="00322C8F"/>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5"/>
    <w:rsid w:val="00523907"/>
    <w:rsid w:val="0052489B"/>
    <w:rsid w:val="00535EE6"/>
    <w:rsid w:val="00540C47"/>
    <w:rsid w:val="005425FE"/>
    <w:rsid w:val="00542BE0"/>
    <w:rsid w:val="0054411C"/>
    <w:rsid w:val="0054430B"/>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3723"/>
    <w:rsid w:val="007A5A4F"/>
    <w:rsid w:val="007B0D0A"/>
    <w:rsid w:val="007B6F41"/>
    <w:rsid w:val="007C0E6D"/>
    <w:rsid w:val="007D185E"/>
    <w:rsid w:val="007D2118"/>
    <w:rsid w:val="007E5308"/>
    <w:rsid w:val="007F2E1C"/>
    <w:rsid w:val="007F4470"/>
    <w:rsid w:val="008074F9"/>
    <w:rsid w:val="00811B22"/>
    <w:rsid w:val="00816C2D"/>
    <w:rsid w:val="008212E4"/>
    <w:rsid w:val="008216E8"/>
    <w:rsid w:val="008229F1"/>
    <w:rsid w:val="00824154"/>
    <w:rsid w:val="00833A79"/>
    <w:rsid w:val="0083739C"/>
    <w:rsid w:val="00851D1B"/>
    <w:rsid w:val="00854046"/>
    <w:rsid w:val="00854F5E"/>
    <w:rsid w:val="008564FB"/>
    <w:rsid w:val="00857740"/>
    <w:rsid w:val="00860BC6"/>
    <w:rsid w:val="00862B3E"/>
    <w:rsid w:val="0086460A"/>
    <w:rsid w:val="00866B92"/>
    <w:rsid w:val="00870B5F"/>
    <w:rsid w:val="00872477"/>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CD8"/>
    <w:rsid w:val="00A32E7E"/>
    <w:rsid w:val="00A50728"/>
    <w:rsid w:val="00A50C46"/>
    <w:rsid w:val="00A614FE"/>
    <w:rsid w:val="00A637E4"/>
    <w:rsid w:val="00A645EC"/>
    <w:rsid w:val="00A64820"/>
    <w:rsid w:val="00A64DFD"/>
    <w:rsid w:val="00A740F0"/>
    <w:rsid w:val="00A75174"/>
    <w:rsid w:val="00A75863"/>
    <w:rsid w:val="00A77130"/>
    <w:rsid w:val="00A8552F"/>
    <w:rsid w:val="00A8693F"/>
    <w:rsid w:val="00A9195C"/>
    <w:rsid w:val="00A941E3"/>
    <w:rsid w:val="00AA7FB2"/>
    <w:rsid w:val="00AB0C0B"/>
    <w:rsid w:val="00AB3BBE"/>
    <w:rsid w:val="00AB4B2F"/>
    <w:rsid w:val="00AB65DF"/>
    <w:rsid w:val="00AC0BC0"/>
    <w:rsid w:val="00AC39C6"/>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713B3"/>
    <w:rsid w:val="00C72AAA"/>
    <w:rsid w:val="00C73B64"/>
    <w:rsid w:val="00C74362"/>
    <w:rsid w:val="00C76CA0"/>
    <w:rsid w:val="00C77B17"/>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5842"/>
    <w:rsid w:val="00D1706F"/>
    <w:rsid w:val="00D239B3"/>
    <w:rsid w:val="00D26930"/>
    <w:rsid w:val="00D31100"/>
    <w:rsid w:val="00D320D3"/>
    <w:rsid w:val="00D34E8D"/>
    <w:rsid w:val="00D426FE"/>
    <w:rsid w:val="00D42C2E"/>
    <w:rsid w:val="00D46D43"/>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B07A7"/>
    <w:rsid w:val="00FB3D38"/>
    <w:rsid w:val="00FC7430"/>
    <w:rsid w:val="00FE27E3"/>
    <w:rsid w:val="00FF0A46"/>
    <w:rsid w:val="00FF37BD"/>
    <w:rsid w:val="01D13A92"/>
    <w:rsid w:val="037F26CC"/>
    <w:rsid w:val="10EF7082"/>
    <w:rsid w:val="172A1B61"/>
    <w:rsid w:val="248E7D86"/>
    <w:rsid w:val="2532523F"/>
    <w:rsid w:val="30160A68"/>
    <w:rsid w:val="3E1F0EB6"/>
    <w:rsid w:val="49BD1DF0"/>
    <w:rsid w:val="4EAA0250"/>
    <w:rsid w:val="5DD96F51"/>
    <w:rsid w:val="61EE7A74"/>
    <w:rsid w:val="63C3052B"/>
    <w:rsid w:val="6BAB16B2"/>
    <w:rsid w:val="6D882AB1"/>
    <w:rsid w:val="7D0406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ourier New" w:hAnsi="Courier New" w:eastAsia="Cambria Math" w:cs="Times New Roman"/>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link w:val="12"/>
    <w:qFormat/>
    <w:uiPriority w:val="99"/>
    <w:rPr>
      <w:rFonts w:eastAsia="华文中宋"/>
      <w:sz w:val="28"/>
      <w:szCs w:val="28"/>
    </w:rPr>
  </w:style>
  <w:style w:type="paragraph" w:styleId="4">
    <w:name w:val="Body Text"/>
    <w:basedOn w:val="1"/>
    <w:qFormat/>
    <w:uiPriority w:val="0"/>
    <w:rPr>
      <w:sz w:val="44"/>
    </w:rPr>
  </w:style>
  <w:style w:type="paragraph" w:styleId="5">
    <w:name w:val="Date"/>
    <w:basedOn w:val="1"/>
    <w:next w:val="1"/>
    <w:link w:val="11"/>
    <w:qFormat/>
    <w:uiPriority w:val="0"/>
    <w:pPr>
      <w:ind w:left="100" w:leftChars="2500"/>
    </w:pPr>
    <w:rPr>
      <w:rFonts w:ascii="仿宋_GB2312" w:hAnsi="宋体" w:eastAsia="仿宋_GB2312"/>
      <w:sz w:val="30"/>
      <w:szCs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unnamed11"/>
    <w:qFormat/>
    <w:uiPriority w:val="0"/>
    <w:rPr>
      <w:sz w:val="21"/>
    </w:rPr>
  </w:style>
  <w:style w:type="character" w:customStyle="1" w:styleId="11">
    <w:name w:val="日期 Char"/>
    <w:basedOn w:val="9"/>
    <w:link w:val="5"/>
    <w:qFormat/>
    <w:uiPriority w:val="0"/>
    <w:rPr>
      <w:rFonts w:ascii="仿宋_GB2312" w:hAnsi="宋体" w:eastAsia="仿宋_GB2312"/>
      <w:kern w:val="2"/>
      <w:sz w:val="30"/>
      <w:szCs w:val="28"/>
    </w:rPr>
  </w:style>
  <w:style w:type="character" w:customStyle="1" w:styleId="12">
    <w:name w:val="正文缩进 Char"/>
    <w:link w:val="3"/>
    <w:qFormat/>
    <w:locked/>
    <w:uiPriority w:val="99"/>
    <w:rPr>
      <w:rFonts w:eastAsia="华文中宋"/>
      <w:kern w:val="2"/>
      <w:sz w:val="28"/>
      <w:szCs w:val="28"/>
    </w:rPr>
  </w:style>
  <w:style w:type="paragraph" w:customStyle="1" w:styleId="13">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6</Pages>
  <Words>399</Words>
  <Characters>2278</Characters>
  <Lines>18</Lines>
  <Paragraphs>5</Paragraphs>
  <TotalTime>318</TotalTime>
  <ScaleCrop>false</ScaleCrop>
  <LinksUpToDate>false</LinksUpToDate>
  <CharactersWithSpaces>2672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2018-03-01T02:28:00Z</dcterms:created>
  <dc:creator>CN=李道金/OU=上饶市/O=jiangxi</dc:creator>
  <cp:lastModifiedBy>橘子、桔子</cp:lastModifiedBy>
  <cp:lastPrinted>2020-04-28T01:10:00Z</cp:lastPrinted>
  <dcterms:modified xsi:type="dcterms:W3CDTF">2020-05-07T02:18:42Z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